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微软雅黑" w:hAnsi="微软雅黑" w:eastAsia="微软雅黑"/>
          <w:b/>
          <w:bCs/>
          <w:sz w:val="30"/>
          <w:szCs w:val="30"/>
        </w:rPr>
      </w:pPr>
    </w:p>
    <w:p>
      <w:pPr>
        <w:spacing w:line="360" w:lineRule="auto"/>
        <w:jc w:val="center"/>
        <w:rPr>
          <w:rFonts w:ascii="微软雅黑" w:hAnsi="微软雅黑" w:eastAsia="微软雅黑"/>
          <w:b/>
          <w:bCs/>
          <w:sz w:val="30"/>
          <w:szCs w:val="30"/>
        </w:rPr>
      </w:pPr>
    </w:p>
    <w:p>
      <w:pPr>
        <w:spacing w:line="360" w:lineRule="auto"/>
        <w:jc w:val="center"/>
        <w:rPr>
          <w:rFonts w:ascii="微软雅黑" w:hAnsi="微软雅黑" w:eastAsia="微软雅黑"/>
          <w:b/>
          <w:bCs/>
          <w:sz w:val="30"/>
          <w:szCs w:val="30"/>
        </w:rPr>
      </w:pPr>
    </w:p>
    <w:p>
      <w:pPr>
        <w:spacing w:line="360" w:lineRule="auto"/>
        <w:jc w:val="center"/>
        <w:rPr>
          <w:rFonts w:ascii="微软雅黑" w:hAnsi="微软雅黑" w:eastAsia="微软雅黑"/>
          <w:b/>
          <w:bCs/>
          <w:sz w:val="30"/>
          <w:szCs w:val="30"/>
        </w:rPr>
      </w:pPr>
      <w:r>
        <w:rPr>
          <w:rFonts w:hint="eastAsia" w:ascii="微软雅黑" w:hAnsi="微软雅黑" w:eastAsia="微软雅黑"/>
          <w:sz w:val="72"/>
          <w:szCs w:val="72"/>
        </w:rPr>
        <mc:AlternateContent>
          <mc:Choice Requires="wps">
            <w:drawing>
              <wp:anchor distT="0" distB="0" distL="114300" distR="114300" simplePos="0" relativeHeight="251659264" behindDoc="0" locked="0" layoutInCell="1" allowOverlap="1">
                <wp:simplePos x="0" y="0"/>
                <wp:positionH relativeFrom="column">
                  <wp:posOffset>4657725</wp:posOffset>
                </wp:positionH>
                <wp:positionV relativeFrom="paragraph">
                  <wp:posOffset>163830</wp:posOffset>
                </wp:positionV>
                <wp:extent cx="2133600" cy="1200150"/>
                <wp:effectExtent l="0" t="0" r="19050" b="19050"/>
                <wp:wrapNone/>
                <wp:docPr id="2" name="矩形 2"/>
                <wp:cNvGraphicFramePr/>
                <a:graphic xmlns:a="http://schemas.openxmlformats.org/drawingml/2006/main">
                  <a:graphicData uri="http://schemas.microsoft.com/office/word/2010/wordprocessingShape">
                    <wps:wsp>
                      <wps:cNvSpPr/>
                      <wps:spPr>
                        <a:xfrm>
                          <a:off x="0" y="0"/>
                          <a:ext cx="2133600" cy="1200150"/>
                        </a:xfrm>
                        <a:prstGeom prst="rect">
                          <a:avLst/>
                        </a:prstGeom>
                        <a:solidFill>
                          <a:schemeClr val="accent3">
                            <a:lumMod val="75000"/>
                          </a:schemeClr>
                        </a:solidFill>
                      </wps:spPr>
                      <wps:style>
                        <a:lnRef idx="3">
                          <a:schemeClr val="lt1"/>
                        </a:lnRef>
                        <a:fillRef idx="1">
                          <a:schemeClr val="accent3"/>
                        </a:fillRef>
                        <a:effectRef idx="1">
                          <a:schemeClr val="accent3"/>
                        </a:effectRef>
                        <a:fontRef idx="minor">
                          <a:schemeClr val="lt1"/>
                        </a:fontRef>
                      </wps:style>
                      <wps:txbx>
                        <w:txbxContent>
                          <w:p>
                            <w:pPr>
                              <w:jc w:val="left"/>
                              <w:rPr>
                                <w:rFonts w:ascii="微软雅黑" w:hAnsi="微软雅黑" w:eastAsia="微软雅黑"/>
                                <w:b/>
                                <w:bCs/>
                                <w:sz w:val="62"/>
                                <w:szCs w:val="62"/>
                              </w:rPr>
                            </w:pPr>
                            <w:r>
                              <w:rPr>
                                <w:rFonts w:hint="eastAsia" w:ascii="微软雅黑" w:hAnsi="微软雅黑" w:eastAsia="微软雅黑"/>
                                <w:b/>
                                <w:bCs/>
                                <w:sz w:val="62"/>
                                <w:szCs w:val="62"/>
                              </w:rPr>
                              <w:t>产品介绍</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66.75pt;margin-top:12.9pt;height:94.5pt;width:168pt;z-index:251659264;v-text-anchor:middle;mso-width-relative:page;mso-height-relative:page;" fillcolor="#CD8F28 [2406]" filled="t" stroked="t" coordsize="21600,21600" o:gfxdata="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JGIX0baAAAA&#10;CwEAAA8AAAAAAAAAAQAgAAAAIgAAAGRycy9kb3ducmV2LnhtbFBLAQIUABQAAAAIAIdO4kAPE0I2&#10;jQIAACIFAAAOAAAAAAAAAAEAIAAAACkBAABkcnMvZTJvRG9jLnhtbFBLBQYAAAAABgAGAFkBAAAo&#10;BgAAAAA=&#10;">
                <v:fill on="t" focussize="0,0"/>
                <v:stroke weight="1.5pt" color="#FFFFFF [3201]" miterlimit="8" joinstyle="miter"/>
                <v:imagedata o:title=""/>
                <o:lock v:ext="edit" aspectratio="f"/>
                <v:textbox>
                  <w:txbxContent>
                    <w:p>
                      <w:pPr>
                        <w:jc w:val="left"/>
                        <w:rPr>
                          <w:rFonts w:ascii="微软雅黑" w:hAnsi="微软雅黑" w:eastAsia="微软雅黑"/>
                          <w:b/>
                          <w:bCs/>
                          <w:sz w:val="62"/>
                          <w:szCs w:val="62"/>
                        </w:rPr>
                      </w:pPr>
                      <w:r>
                        <w:rPr>
                          <w:rFonts w:hint="eastAsia" w:ascii="微软雅黑" w:hAnsi="微软雅黑" w:eastAsia="微软雅黑"/>
                          <w:b/>
                          <w:bCs/>
                          <w:sz w:val="62"/>
                          <w:szCs w:val="62"/>
                        </w:rPr>
                        <w:t>产品介绍</w:t>
                      </w:r>
                    </w:p>
                  </w:txbxContent>
                </v:textbox>
              </v:rect>
            </w:pict>
          </mc:Fallback>
        </mc:AlternateContent>
      </w:r>
    </w:p>
    <w:tbl>
      <w:tblPr>
        <w:tblStyle w:val="8"/>
        <w:tblW w:w="9841" w:type="dxa"/>
        <w:tblInd w:w="-122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8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1" w:hRule="atLeast"/>
        </w:trPr>
        <w:tc>
          <w:tcPr>
            <w:tcW w:w="9841" w:type="dxa"/>
          </w:tcPr>
          <w:p>
            <w:pPr>
              <w:spacing w:line="360" w:lineRule="auto"/>
              <w:jc w:val="left"/>
              <w:rPr>
                <w:rFonts w:ascii="微软雅黑" w:hAnsi="微软雅黑" w:eastAsia="微软雅黑"/>
                <w:b/>
                <w:bCs/>
                <w:color w:val="4186A4" w:themeColor="background2" w:themeShade="80"/>
                <w:spacing w:val="20"/>
                <w:kern w:val="13"/>
                <w:sz w:val="66"/>
                <w:szCs w:val="66"/>
              </w:rPr>
            </w:pPr>
            <w:r>
              <w:rPr>
                <w:rFonts w:hint="eastAsia" w:ascii="微软雅黑" w:hAnsi="微软雅黑" w:eastAsia="微软雅黑"/>
                <w:b/>
                <w:bCs/>
                <w:color w:val="4186A4" w:themeColor="background2" w:themeShade="80"/>
                <w:spacing w:val="20"/>
                <w:kern w:val="13"/>
                <w:sz w:val="66"/>
                <w:szCs w:val="66"/>
              </w:rPr>
              <w:t>中国微观经济数据查询系统</w:t>
            </w:r>
          </w:p>
        </w:tc>
      </w:tr>
    </w:tbl>
    <w:p>
      <w:pPr>
        <w:spacing w:line="360" w:lineRule="auto"/>
        <w:jc w:val="center"/>
        <w:rPr>
          <w:rFonts w:ascii="微软雅黑" w:hAnsi="微软雅黑" w:eastAsia="微软雅黑"/>
          <w:b/>
          <w:bCs/>
          <w:color w:val="87BAD0" w:themeColor="background2" w:themeShade="BF"/>
          <w:sz w:val="32"/>
          <w:szCs w:val="32"/>
        </w:rPr>
      </w:pPr>
      <w:bookmarkStart w:id="0" w:name="_Hlk18082823"/>
      <w:r>
        <w:fldChar w:fldCharType="begin"/>
      </w:r>
      <w:r>
        <w:instrText xml:space="preserve"> HYPERLINK "http://microdata.sozdata.com/" </w:instrText>
      </w:r>
      <w:r>
        <w:fldChar w:fldCharType="separate"/>
      </w:r>
      <w:r>
        <w:rPr>
          <w:rStyle w:val="10"/>
          <w:rFonts w:ascii="微软雅黑" w:hAnsi="微软雅黑" w:eastAsia="微软雅黑"/>
          <w:color w:val="87BAD0" w:themeColor="background2" w:themeShade="BF"/>
          <w:sz w:val="32"/>
          <w:szCs w:val="32"/>
        </w:rPr>
        <w:t>http://microdata.sozdata.com</w:t>
      </w:r>
      <w:r>
        <w:rPr>
          <w:rStyle w:val="10"/>
          <w:rFonts w:ascii="微软雅黑" w:hAnsi="微软雅黑" w:eastAsia="微软雅黑"/>
          <w:color w:val="87BAD0" w:themeColor="background2" w:themeShade="BF"/>
          <w:sz w:val="32"/>
          <w:szCs w:val="32"/>
        </w:rPr>
        <w:fldChar w:fldCharType="end"/>
      </w:r>
    </w:p>
    <w:bookmarkEnd w:id="0"/>
    <w:p>
      <w:pPr>
        <w:spacing w:line="360" w:lineRule="auto"/>
        <w:jc w:val="center"/>
        <w:rPr>
          <w:rFonts w:ascii="微软雅黑" w:hAnsi="微软雅黑" w:eastAsia="微软雅黑"/>
        </w:rPr>
      </w:pPr>
    </w:p>
    <w:p>
      <w:pPr>
        <w:spacing w:line="360" w:lineRule="auto"/>
        <w:jc w:val="center"/>
        <w:rPr>
          <w:rFonts w:ascii="微软雅黑" w:hAnsi="微软雅黑" w:eastAsia="微软雅黑"/>
        </w:rPr>
      </w:pPr>
    </w:p>
    <w:p>
      <w:pPr>
        <w:spacing w:line="360" w:lineRule="auto"/>
        <w:jc w:val="center"/>
        <w:rPr>
          <w:rFonts w:ascii="微软雅黑" w:hAnsi="微软雅黑" w:eastAsia="微软雅黑"/>
        </w:rPr>
      </w:pPr>
    </w:p>
    <w:tbl>
      <w:tblPr>
        <w:tblStyle w:val="8"/>
        <w:tblpPr w:leftFromText="180" w:rightFromText="180" w:vertAnchor="text" w:tblpX="-382" w:tblpY="1"/>
        <w:tblOverlap w:val="never"/>
        <w:tblW w:w="581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12"/>
        <w:gridCol w:w="240"/>
        <w:gridCol w:w="1265"/>
        <w:gridCol w:w="238"/>
        <w:gridCol w:w="1197"/>
        <w:gridCol w:w="244"/>
        <w:gridCol w:w="1279"/>
        <w:gridCol w:w="280"/>
        <w:gridCol w:w="1249"/>
        <w:gridCol w:w="238"/>
        <w:gridCol w:w="1231"/>
        <w:gridCol w:w="12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612" w:type="pct"/>
          </w:tcPr>
          <w:p>
            <w:pPr>
              <w:spacing w:line="360" w:lineRule="auto"/>
              <w:jc w:val="center"/>
              <w:rPr>
                <w:rFonts w:ascii="微软雅黑" w:hAnsi="微软雅黑" w:eastAsia="微软雅黑"/>
                <w:b/>
                <w:bCs/>
                <w:color w:val="87BAD0" w:themeColor="background2" w:themeShade="BF"/>
                <w:sz w:val="24"/>
                <w:szCs w:val="24"/>
              </w:rPr>
            </w:pPr>
            <w:r>
              <w:rPr>
                <w:rFonts w:hint="eastAsia" w:ascii="微软雅黑" w:hAnsi="微软雅黑" w:eastAsia="微软雅黑"/>
                <w:b/>
                <w:bCs/>
                <w:color w:val="87BAD0" w:themeColor="background2" w:themeShade="BF"/>
                <w:sz w:val="24"/>
                <w:szCs w:val="24"/>
              </w:rPr>
              <w:t>工业企业</w:t>
            </w:r>
          </w:p>
        </w:tc>
        <w:tc>
          <w:tcPr>
            <w:tcW w:w="121" w:type="pct"/>
          </w:tcPr>
          <w:p>
            <w:pPr>
              <w:spacing w:line="360" w:lineRule="auto"/>
              <w:jc w:val="left"/>
              <w:rPr>
                <w:rFonts w:ascii="微软雅黑" w:hAnsi="微软雅黑" w:eastAsia="微软雅黑"/>
                <w:b/>
                <w:bCs/>
                <w:color w:val="87BAD0" w:themeColor="background2" w:themeShade="BF"/>
                <w:sz w:val="24"/>
                <w:szCs w:val="24"/>
              </w:rPr>
            </w:pPr>
            <w:r>
              <w:rPr>
                <w:rFonts w:ascii="微软雅黑" w:hAnsi="微软雅黑" w:eastAsia="微软雅黑"/>
                <w:b/>
                <w:bCs/>
                <w:color w:val="87BAD0" w:themeColor="background2" w:themeShade="BF"/>
                <w:sz w:val="24"/>
                <w:szCs w:val="24"/>
              </w:rPr>
              <mc:AlternateContent>
                <mc:Choice Requires="wps">
                  <w:drawing>
                    <wp:anchor distT="0" distB="0" distL="114300" distR="114300" simplePos="0" relativeHeight="251668480" behindDoc="0" locked="0" layoutInCell="1" allowOverlap="1">
                      <wp:simplePos x="0" y="0"/>
                      <wp:positionH relativeFrom="column">
                        <wp:posOffset>-16510</wp:posOffset>
                      </wp:positionH>
                      <wp:positionV relativeFrom="paragraph">
                        <wp:posOffset>170180</wp:posOffset>
                      </wp:positionV>
                      <wp:extent cx="71755" cy="71755"/>
                      <wp:effectExtent l="0" t="0" r="23495" b="23495"/>
                      <wp:wrapNone/>
                      <wp:docPr id="14" name="流程图: 接点 14"/>
                      <wp:cNvGraphicFramePr/>
                      <a:graphic xmlns:a="http://schemas.openxmlformats.org/drawingml/2006/main">
                        <a:graphicData uri="http://schemas.microsoft.com/office/word/2010/wordprocessingShape">
                          <wps:wsp>
                            <wps:cNvSpPr/>
                            <wps:spPr>
                              <a:xfrm>
                                <a:off x="0" y="0"/>
                                <a:ext cx="71755" cy="7175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流程图: 接点 14" o:spid="_x0000_s1026" o:spt="120" type="#_x0000_t120" style="position:absolute;left:0pt;margin-left:-1.3pt;margin-top:13.4pt;height:5.65pt;width:5.65pt;z-index:251668480;v-text-anchor:middle;mso-width-relative:page;mso-height-relative:page;" fillcolor="#116EA1 [3204]" filled="t" stroked="t" coordsize="21600,21600" o:gfxdata="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">
                      <v:fill on="t" focussize="0,0"/>
                      <v:stroke weight="1pt" color="#094F75 [3204]" miterlimit="8" joinstyle="miter"/>
                      <v:imagedata o:title=""/>
                      <o:lock v:ext="edit" aspectratio="f"/>
                    </v:shape>
                  </w:pict>
                </mc:Fallback>
              </mc:AlternateContent>
            </w:r>
          </w:p>
        </w:tc>
        <w:tc>
          <w:tcPr>
            <w:tcW w:w="638" w:type="pct"/>
          </w:tcPr>
          <w:p>
            <w:pPr>
              <w:spacing w:line="360" w:lineRule="auto"/>
              <w:jc w:val="center"/>
              <w:rPr>
                <w:rFonts w:ascii="微软雅黑" w:hAnsi="微软雅黑" w:eastAsia="微软雅黑"/>
                <w:b/>
                <w:bCs/>
                <w:color w:val="87BAD0" w:themeColor="background2" w:themeShade="BF"/>
                <w:sz w:val="24"/>
                <w:szCs w:val="24"/>
              </w:rPr>
            </w:pPr>
            <w:r>
              <w:rPr>
                <w:rFonts w:hint="eastAsia" w:ascii="微软雅黑" w:hAnsi="微软雅黑" w:eastAsia="微软雅黑"/>
                <w:b/>
                <w:bCs/>
                <w:color w:val="87BAD0" w:themeColor="background2" w:themeShade="BF"/>
                <w:sz w:val="24"/>
                <w:szCs w:val="24"/>
              </w:rPr>
              <w:t>海关企业</w:t>
            </w:r>
          </w:p>
        </w:tc>
        <w:tc>
          <w:tcPr>
            <w:tcW w:w="120" w:type="pct"/>
          </w:tcPr>
          <w:p>
            <w:pPr>
              <w:spacing w:line="360" w:lineRule="auto"/>
              <w:jc w:val="left"/>
              <w:rPr>
                <w:rFonts w:ascii="微软雅黑" w:hAnsi="微软雅黑" w:eastAsia="微软雅黑"/>
                <w:b/>
                <w:bCs/>
                <w:color w:val="87BAD0" w:themeColor="background2" w:themeShade="BF"/>
                <w:sz w:val="24"/>
                <w:szCs w:val="24"/>
              </w:rPr>
            </w:pPr>
            <w:r>
              <w:rPr>
                <w:rFonts w:ascii="微软雅黑" w:hAnsi="微软雅黑" w:eastAsia="微软雅黑"/>
                <w:b/>
                <w:bCs/>
                <w:color w:val="87BAD0" w:themeColor="background2" w:themeShade="BF"/>
                <w:sz w:val="24"/>
                <w:szCs w:val="24"/>
              </w:rPr>
              <mc:AlternateContent>
                <mc:Choice Requires="wps">
                  <w:drawing>
                    <wp:anchor distT="0" distB="0" distL="114300" distR="114300" simplePos="0" relativeHeight="251666432" behindDoc="0" locked="0" layoutInCell="1" allowOverlap="1">
                      <wp:simplePos x="0" y="0"/>
                      <wp:positionH relativeFrom="column">
                        <wp:posOffset>-33655</wp:posOffset>
                      </wp:positionH>
                      <wp:positionV relativeFrom="paragraph">
                        <wp:posOffset>170180</wp:posOffset>
                      </wp:positionV>
                      <wp:extent cx="71755" cy="71755"/>
                      <wp:effectExtent l="6350" t="6350" r="17145" b="17145"/>
                      <wp:wrapNone/>
                      <wp:docPr id="8" name="流程图: 接点 8"/>
                      <wp:cNvGraphicFramePr/>
                      <a:graphic xmlns:a="http://schemas.openxmlformats.org/drawingml/2006/main">
                        <a:graphicData uri="http://schemas.microsoft.com/office/word/2010/wordprocessingShape">
                          <wps:wsp>
                            <wps:cNvSpPr/>
                            <wps:spPr>
                              <a:xfrm rot="180000">
                                <a:off x="0" y="0"/>
                                <a:ext cx="71755" cy="7175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流程图: 接点 8" o:spid="_x0000_s1026" o:spt="120" type="#_x0000_t120" style="position:absolute;left:0pt;margin-left:-2.65pt;margin-top:13.4pt;height:5.65pt;width:5.65pt;rotation:196608f;z-index:251666432;v-text-anchor:middle;mso-width-relative:page;mso-height-relative:page;" fillcolor="#116EA1 [3204]" filled="t" stroked="t" coordsize="21600,21600" o:gfxdata="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">
                      <v:fill on="t" focussize="0,0"/>
                      <v:stroke weight="1pt" color="#094F75 [3204]" miterlimit="8" joinstyle="miter"/>
                      <v:imagedata o:title=""/>
                      <o:lock v:ext="edit" aspectratio="f"/>
                      <v:textbox>
                        <w:txbxContent>
                          <w:p>
                            <w:pPr>
                              <w:jc w:val="center"/>
                            </w:pPr>
                          </w:p>
                        </w:txbxContent>
                      </v:textbox>
                    </v:shape>
                  </w:pict>
                </mc:Fallback>
              </mc:AlternateContent>
            </w:r>
          </w:p>
        </w:tc>
        <w:tc>
          <w:tcPr>
            <w:tcW w:w="604" w:type="pct"/>
          </w:tcPr>
          <w:p>
            <w:pPr>
              <w:spacing w:line="360" w:lineRule="auto"/>
              <w:jc w:val="center"/>
              <w:rPr>
                <w:rFonts w:ascii="微软雅黑" w:hAnsi="微软雅黑" w:eastAsia="微软雅黑"/>
                <w:b/>
                <w:bCs/>
                <w:color w:val="87BAD0" w:themeColor="background2" w:themeShade="BF"/>
                <w:sz w:val="24"/>
                <w:szCs w:val="24"/>
              </w:rPr>
            </w:pPr>
            <w:r>
              <w:rPr>
                <w:rFonts w:hint="eastAsia" w:ascii="微软雅黑" w:hAnsi="微软雅黑" w:eastAsia="微软雅黑"/>
                <w:b/>
                <w:bCs/>
                <w:color w:val="87BAD0" w:themeColor="background2" w:themeShade="BF"/>
                <w:sz w:val="24"/>
                <w:szCs w:val="24"/>
              </w:rPr>
              <w:t>创新企业</w:t>
            </w:r>
          </w:p>
        </w:tc>
        <w:tc>
          <w:tcPr>
            <w:tcW w:w="123" w:type="pct"/>
          </w:tcPr>
          <w:p>
            <w:pPr>
              <w:spacing w:line="360" w:lineRule="auto"/>
              <w:jc w:val="left"/>
              <w:rPr>
                <w:rFonts w:ascii="微软雅黑" w:hAnsi="微软雅黑" w:eastAsia="微软雅黑"/>
                <w:b/>
                <w:bCs/>
                <w:color w:val="87BAD0" w:themeColor="background2" w:themeShade="BF"/>
                <w:sz w:val="24"/>
                <w:szCs w:val="24"/>
              </w:rPr>
            </w:pPr>
            <w:r>
              <w:rPr>
                <w:rFonts w:ascii="微软雅黑" w:hAnsi="微软雅黑" w:eastAsia="微软雅黑"/>
                <w:b/>
                <w:bCs/>
                <w:color w:val="87BAD0" w:themeColor="background2" w:themeShade="BF"/>
                <w:sz w:val="24"/>
                <w:szCs w:val="24"/>
              </w:rPr>
              <mc:AlternateContent>
                <mc:Choice Requires="wps">
                  <w:drawing>
                    <wp:anchor distT="0" distB="0" distL="114300" distR="114300" simplePos="0" relativeHeight="251669504" behindDoc="0" locked="0" layoutInCell="1" allowOverlap="1">
                      <wp:simplePos x="0" y="0"/>
                      <wp:positionH relativeFrom="column">
                        <wp:posOffset>-17780</wp:posOffset>
                      </wp:positionH>
                      <wp:positionV relativeFrom="paragraph">
                        <wp:posOffset>170180</wp:posOffset>
                      </wp:positionV>
                      <wp:extent cx="71755" cy="71755"/>
                      <wp:effectExtent l="0" t="0" r="23495" b="23495"/>
                      <wp:wrapNone/>
                      <wp:docPr id="3" name="流程图: 接点 3"/>
                      <wp:cNvGraphicFramePr/>
                      <a:graphic xmlns:a="http://schemas.openxmlformats.org/drawingml/2006/main">
                        <a:graphicData uri="http://schemas.microsoft.com/office/word/2010/wordprocessingShape">
                          <wps:wsp>
                            <wps:cNvSpPr/>
                            <wps:spPr>
                              <a:xfrm>
                                <a:off x="0" y="0"/>
                                <a:ext cx="71755" cy="7175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流程图: 接点 3" o:spid="_x0000_s1026" o:spt="120" type="#_x0000_t120" style="position:absolute;left:0pt;margin-left:-1.4pt;margin-top:13.4pt;height:5.65pt;width:5.65pt;z-index:251669504;v-text-anchor:middle;mso-width-relative:page;mso-height-relative:page;" fillcolor="#116EA1 [3204]" filled="t" stroked="t" coordsize="21600,21600" o:gfxdata="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CrxEz21QAAAAYBAAAPAAAAAAAAAAEAIAAAACIAAABkcnMvZG93bnJldi54bWxQSwEC&#10;FAAUAAAACACHTuJAHRZ/Q6ICAAA2BQAADgAAAAAAAAABACAAAAAkAQAAZHJzL2Uyb0RvYy54bWxQ&#10;SwUGAAAAAAYABgBZAQAAOAYAAAAA&#10;">
                      <v:fill on="t" focussize="0,0"/>
                      <v:stroke weight="1pt" color="#094F75 [3204]" miterlimit="8" joinstyle="miter"/>
                      <v:imagedata o:title=""/>
                      <o:lock v:ext="edit" aspectratio="f"/>
                      <v:textbox>
                        <w:txbxContent>
                          <w:p>
                            <w:pPr>
                              <w:jc w:val="center"/>
                            </w:pPr>
                          </w:p>
                        </w:txbxContent>
                      </v:textbox>
                    </v:shape>
                  </w:pict>
                </mc:Fallback>
              </mc:AlternateContent>
            </w:r>
          </w:p>
        </w:tc>
        <w:tc>
          <w:tcPr>
            <w:tcW w:w="645" w:type="pct"/>
          </w:tcPr>
          <w:p>
            <w:pPr>
              <w:spacing w:line="360" w:lineRule="auto"/>
              <w:jc w:val="center"/>
              <w:rPr>
                <w:rFonts w:ascii="微软雅黑" w:hAnsi="微软雅黑" w:eastAsia="微软雅黑"/>
                <w:b/>
                <w:bCs/>
                <w:color w:val="87BAD0" w:themeColor="background2" w:themeShade="BF"/>
                <w:sz w:val="24"/>
                <w:szCs w:val="24"/>
              </w:rPr>
            </w:pPr>
            <w:r>
              <w:rPr>
                <w:rFonts w:hint="eastAsia" w:ascii="微软雅黑" w:hAnsi="微软雅黑" w:eastAsia="微软雅黑"/>
                <w:b/>
                <w:bCs/>
                <w:color w:val="87BAD0" w:themeColor="background2" w:themeShade="BF"/>
                <w:sz w:val="24"/>
                <w:szCs w:val="24"/>
              </w:rPr>
              <w:t>绿色发展</w:t>
            </w:r>
          </w:p>
        </w:tc>
        <w:tc>
          <w:tcPr>
            <w:tcW w:w="141" w:type="pct"/>
          </w:tcPr>
          <w:p>
            <w:pPr>
              <w:spacing w:line="360" w:lineRule="auto"/>
              <w:jc w:val="left"/>
              <w:rPr>
                <w:rFonts w:ascii="微软雅黑" w:hAnsi="微软雅黑" w:eastAsia="微软雅黑"/>
                <w:b/>
                <w:bCs/>
                <w:color w:val="87BAD0" w:themeColor="background2" w:themeShade="BF"/>
                <w:sz w:val="24"/>
                <w:szCs w:val="24"/>
              </w:rPr>
            </w:pPr>
            <w:r>
              <w:rPr>
                <w:rFonts w:ascii="微软雅黑" w:hAnsi="微软雅黑" w:eastAsia="微软雅黑"/>
                <w:b/>
                <w:bCs/>
                <w:color w:val="87BAD0" w:themeColor="background2" w:themeShade="BF"/>
                <w:sz w:val="24"/>
                <w:szCs w:val="24"/>
              </w:rPr>
              <mc:AlternateContent>
                <mc:Choice Requires="wps">
                  <w:drawing>
                    <wp:anchor distT="0" distB="0" distL="114300" distR="114300" simplePos="0" relativeHeight="251667456" behindDoc="0" locked="0" layoutInCell="1" allowOverlap="1">
                      <wp:simplePos x="0" y="0"/>
                      <wp:positionH relativeFrom="column">
                        <wp:posOffset>5080</wp:posOffset>
                      </wp:positionH>
                      <wp:positionV relativeFrom="paragraph">
                        <wp:posOffset>194310</wp:posOffset>
                      </wp:positionV>
                      <wp:extent cx="71755" cy="71755"/>
                      <wp:effectExtent l="0" t="0" r="23495" b="23495"/>
                      <wp:wrapNone/>
                      <wp:docPr id="11" name="流程图: 接点 11"/>
                      <wp:cNvGraphicFramePr/>
                      <a:graphic xmlns:a="http://schemas.openxmlformats.org/drawingml/2006/main">
                        <a:graphicData uri="http://schemas.microsoft.com/office/word/2010/wordprocessingShape">
                          <wps:wsp>
                            <wps:cNvSpPr/>
                            <wps:spPr>
                              <a:xfrm>
                                <a:off x="0" y="0"/>
                                <a:ext cx="71755" cy="7175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流程图: 接点 11" o:spid="_x0000_s1026" o:spt="120" type="#_x0000_t120" style="position:absolute;left:0pt;margin-left:0.4pt;margin-top:15.3pt;height:5.65pt;width:5.65pt;z-index:251667456;v-text-anchor:middle;mso-width-relative:page;mso-height-relative:page;" fillcolor="#116EA1 [3204]" filled="t" stroked="t" coordsize="21600,21600" o:gfxdata="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CC0KDC0wAAAAUBAAAPAAAAAAAAAAEAIAAAACIAAABkcnMvZG93bnJldi54bWxQSwEC&#10;FAAUAAAACACHTuJAFierfqQCAAA4BQAADgAAAAAAAAABACAAAAAiAQAAZHJzL2Uyb0RvYy54bWxQ&#10;SwUGAAAAAAYABgBZAQAAOAYAAAAA&#10;">
                      <v:fill on="t" focussize="0,0"/>
                      <v:stroke weight="1pt" color="#094F75 [3204]" miterlimit="8" joinstyle="miter"/>
                      <v:imagedata o:title=""/>
                      <o:lock v:ext="edit" aspectratio="f"/>
                      <v:textbox>
                        <w:txbxContent>
                          <w:p>
                            <w:pPr>
                              <w:jc w:val="center"/>
                            </w:pPr>
                          </w:p>
                        </w:txbxContent>
                      </v:textbox>
                    </v:shape>
                  </w:pict>
                </mc:Fallback>
              </mc:AlternateContent>
            </w:r>
          </w:p>
        </w:tc>
        <w:tc>
          <w:tcPr>
            <w:tcW w:w="630" w:type="pct"/>
          </w:tcPr>
          <w:p>
            <w:pPr>
              <w:spacing w:line="360" w:lineRule="auto"/>
              <w:jc w:val="center"/>
              <w:rPr>
                <w:rFonts w:hint="eastAsia" w:ascii="微软雅黑" w:hAnsi="微软雅黑" w:eastAsia="微软雅黑"/>
                <w:b/>
                <w:bCs/>
                <w:color w:val="87BAD0" w:themeColor="background2" w:themeShade="BF"/>
                <w:sz w:val="24"/>
                <w:szCs w:val="24"/>
                <w:lang w:eastAsia="zh-CN"/>
              </w:rPr>
            </w:pPr>
            <w:r>
              <w:rPr>
                <w:rFonts w:hint="eastAsia" w:ascii="微软雅黑" w:hAnsi="微软雅黑" w:eastAsia="微软雅黑"/>
                <w:b/>
                <w:bCs/>
                <w:color w:val="87BAD0" w:themeColor="background2" w:themeShade="BF"/>
                <w:sz w:val="24"/>
                <w:szCs w:val="24"/>
                <w:lang w:val="en-US" w:eastAsia="zh-CN"/>
              </w:rPr>
              <w:t>企业贡献</w:t>
            </w:r>
          </w:p>
        </w:tc>
        <w:tc>
          <w:tcPr>
            <w:tcW w:w="120" w:type="pct"/>
          </w:tcPr>
          <w:p>
            <w:pPr>
              <w:spacing w:line="360" w:lineRule="auto"/>
              <w:jc w:val="left"/>
              <w:rPr>
                <w:rFonts w:hint="eastAsia" w:ascii="微软雅黑" w:hAnsi="微软雅黑" w:eastAsia="微软雅黑"/>
                <w:b/>
                <w:bCs/>
                <w:color w:val="87BAD0" w:themeColor="background2" w:themeShade="BF"/>
                <w:sz w:val="24"/>
                <w:szCs w:val="24"/>
              </w:rPr>
            </w:pPr>
            <w:r>
              <w:rPr>
                <w:rFonts w:ascii="微软雅黑" w:hAnsi="微软雅黑" w:eastAsia="微软雅黑"/>
                <w:b/>
                <w:bCs/>
                <w:color w:val="87BAD0" w:themeColor="background2" w:themeShade="BF"/>
                <w:sz w:val="24"/>
                <w:szCs w:val="24"/>
              </w:rPr>
              <mc:AlternateContent>
                <mc:Choice Requires="wps">
                  <w:drawing>
                    <wp:anchor distT="0" distB="0" distL="114300" distR="114300" simplePos="0" relativeHeight="251670528" behindDoc="0" locked="0" layoutInCell="1" allowOverlap="1">
                      <wp:simplePos x="0" y="0"/>
                      <wp:positionH relativeFrom="column">
                        <wp:posOffset>-12700</wp:posOffset>
                      </wp:positionH>
                      <wp:positionV relativeFrom="paragraph">
                        <wp:posOffset>187960</wp:posOffset>
                      </wp:positionV>
                      <wp:extent cx="71755" cy="71755"/>
                      <wp:effectExtent l="6350" t="6350" r="17145" b="17145"/>
                      <wp:wrapNone/>
                      <wp:docPr id="19" name="流程图: 接点 11"/>
                      <wp:cNvGraphicFramePr/>
                      <a:graphic xmlns:a="http://schemas.openxmlformats.org/drawingml/2006/main">
                        <a:graphicData uri="http://schemas.microsoft.com/office/word/2010/wordprocessingShape">
                          <wps:wsp>
                            <wps:cNvSpPr/>
                            <wps:spPr>
                              <a:xfrm>
                                <a:off x="0" y="0"/>
                                <a:ext cx="71755" cy="7175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流程图: 接点 11" o:spid="_x0000_s1026" o:spt="120" type="#_x0000_t120" style="position:absolute;left:0pt;margin-left:-1pt;margin-top:14.8pt;height:5.65pt;width:5.65pt;z-index:251670528;v-text-anchor:middle;mso-width-relative:page;mso-height-relative:page;" fillcolor="#116EA1 [3204]" filled="t" stroked="t" coordsize="21600,21600" o:gfxdata="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FK4xFLVAAAABgEAAA8AAAAAAAAAAQAgAAAAIgAAAGRycy9kb3ducmV2LnhtbFBL&#10;AQIUABQAAAAIAIdO4kD0KyFjpAIAADgFAAAOAAAAAAAAAAEAIAAAACQBAABkcnMvZTJvRG9jLnht&#10;bFBLBQYAAAAABgAGAFkBAAA6BgAAAAA=&#10;">
                      <v:fill on="t" focussize="0,0"/>
                      <v:stroke weight="1pt" color="#094F75 [3204]" miterlimit="8" joinstyle="miter"/>
                      <v:imagedata o:title=""/>
                      <o:lock v:ext="edit" aspectratio="f"/>
                      <v:textbox>
                        <w:txbxContent>
                          <w:p>
                            <w:pPr>
                              <w:jc w:val="center"/>
                            </w:pPr>
                          </w:p>
                        </w:txbxContent>
                      </v:textbox>
                    </v:shape>
                  </w:pict>
                </mc:Fallback>
              </mc:AlternateContent>
            </w:r>
          </w:p>
        </w:tc>
        <w:tc>
          <w:tcPr>
            <w:tcW w:w="621" w:type="pct"/>
          </w:tcPr>
          <w:p>
            <w:pPr>
              <w:spacing w:line="360" w:lineRule="auto"/>
              <w:jc w:val="center"/>
              <w:rPr>
                <w:rFonts w:hint="default" w:ascii="微软雅黑" w:hAnsi="微软雅黑" w:eastAsia="微软雅黑"/>
                <w:b/>
                <w:bCs/>
                <w:color w:val="87BAD0" w:themeColor="background2" w:themeShade="BF"/>
                <w:sz w:val="24"/>
                <w:szCs w:val="24"/>
                <w:lang w:val="en-US" w:eastAsia="zh-CN"/>
              </w:rPr>
            </w:pPr>
            <w:r>
              <w:rPr>
                <w:rFonts w:hint="eastAsia" w:ascii="微软雅黑" w:hAnsi="微软雅黑" w:eastAsia="微软雅黑"/>
                <w:b/>
                <w:bCs/>
                <w:color w:val="87BAD0" w:themeColor="background2" w:themeShade="BF"/>
                <w:sz w:val="24"/>
                <w:szCs w:val="24"/>
                <w:lang w:val="en-US" w:eastAsia="zh-CN"/>
              </w:rPr>
              <w:t>企业工商</w:t>
            </w:r>
          </w:p>
        </w:tc>
        <w:tc>
          <w:tcPr>
            <w:tcW w:w="621" w:type="pct"/>
          </w:tcPr>
          <w:p>
            <w:pPr>
              <w:spacing w:line="360" w:lineRule="auto"/>
              <w:jc w:val="center"/>
              <w:rPr>
                <w:rFonts w:hint="eastAsia" w:ascii="微软雅黑" w:hAnsi="微软雅黑" w:eastAsia="微软雅黑"/>
                <w:b/>
                <w:bCs/>
                <w:color w:val="87BAD0" w:themeColor="background2" w:themeShade="BF"/>
                <w:sz w:val="24"/>
                <w:szCs w:val="24"/>
              </w:rPr>
            </w:pPr>
            <w:r>
              <w:rPr>
                <w:rFonts w:hint="eastAsia" w:ascii="微软雅黑" w:hAnsi="微软雅黑" w:eastAsia="微软雅黑"/>
                <w:b/>
                <w:bCs/>
                <w:color w:val="87BAD0" w:themeColor="background2" w:themeShade="BF"/>
                <w:sz w:val="24"/>
                <w:szCs w:val="24"/>
              </w:rPr>
              <w:t>跨库匹配</w:t>
            </w:r>
          </w:p>
        </w:tc>
      </w:tr>
    </w:tbl>
    <w:p>
      <w:pPr>
        <w:spacing w:line="360" w:lineRule="auto"/>
        <w:jc w:val="center"/>
        <w:rPr>
          <w:rFonts w:ascii="微软雅黑" w:hAnsi="微软雅黑" w:eastAsia="微软雅黑"/>
        </w:rPr>
      </w:pPr>
    </w:p>
    <w:p>
      <w:pPr>
        <w:spacing w:line="360" w:lineRule="auto"/>
        <w:jc w:val="left"/>
        <w:rPr>
          <w:rFonts w:ascii="微软雅黑" w:hAnsi="微软雅黑" w:eastAsia="微软雅黑"/>
        </w:rPr>
      </w:pPr>
    </w:p>
    <w:p>
      <w:pPr>
        <w:spacing w:line="360" w:lineRule="auto"/>
        <w:jc w:val="center"/>
        <w:rPr>
          <w:rFonts w:ascii="微软雅黑" w:hAnsi="微软雅黑" w:eastAsia="微软雅黑"/>
        </w:rPr>
      </w:pPr>
    </w:p>
    <w:p>
      <w:pPr>
        <w:spacing w:line="360" w:lineRule="auto"/>
        <w:jc w:val="center"/>
        <w:rPr>
          <w:rFonts w:ascii="微软雅黑" w:hAnsi="微软雅黑" w:eastAsia="微软雅黑"/>
        </w:rPr>
      </w:pPr>
    </w:p>
    <w:p>
      <w:pPr>
        <w:spacing w:line="360" w:lineRule="auto"/>
        <w:jc w:val="right"/>
        <w:rPr>
          <w:rFonts w:ascii="微软雅黑" w:hAnsi="微软雅黑" w:eastAsia="微软雅黑"/>
          <w:szCs w:val="21"/>
        </w:rPr>
      </w:pPr>
      <w:r>
        <w:rPr>
          <w:rFonts w:hint="eastAsia" w:ascii="微软雅黑" w:hAnsi="微软雅黑" w:eastAsia="微软雅黑"/>
          <w:szCs w:val="21"/>
          <w:shd w:val="clear" w:color="auto" w:fill="FFFFFF"/>
        </w:rPr>
        <w:t>客户服务： 010-85786021转8001</w:t>
      </w:r>
    </w:p>
    <w:p>
      <w:pPr>
        <w:spacing w:line="360" w:lineRule="auto"/>
        <w:jc w:val="right"/>
        <w:rPr>
          <w:rFonts w:ascii="微软雅黑" w:hAnsi="微软雅黑" w:eastAsia="微软雅黑"/>
          <w:szCs w:val="21"/>
        </w:rPr>
      </w:pPr>
      <w:r>
        <w:rPr>
          <w:rFonts w:ascii="微软雅黑" w:hAnsi="微软雅黑" w:eastAsia="微软雅黑"/>
          <w:szCs w:val="21"/>
        </w:rPr>
        <w:t>E-mail</w:t>
      </w:r>
      <w:r>
        <w:rPr>
          <w:rFonts w:hint="eastAsia" w:ascii="微软雅黑" w:hAnsi="微软雅黑" w:eastAsia="微软雅黑"/>
          <w:szCs w:val="21"/>
        </w:rPr>
        <w:t>：</w:t>
      </w:r>
      <w:r>
        <w:rPr>
          <w:rFonts w:ascii="微软雅黑" w:hAnsi="微软雅黑" w:eastAsia="微软雅黑"/>
          <w:color w:val="000000" w:themeColor="text1"/>
          <w14:textFill>
            <w14:solidFill>
              <w14:schemeClr w14:val="tx1"/>
            </w14:solidFill>
          </w14:textFill>
        </w:rPr>
        <w:t>service@sozdata.com</w:t>
      </w:r>
    </w:p>
    <w:p>
      <w:pPr>
        <w:spacing w:line="360" w:lineRule="auto"/>
        <w:jc w:val="right"/>
        <w:rPr>
          <w:rFonts w:ascii="微软雅黑" w:hAnsi="微软雅黑" w:eastAsia="微软雅黑"/>
        </w:rPr>
      </w:pPr>
      <w:r>
        <w:rPr>
          <w:rFonts w:hint="eastAsia" w:ascii="微软雅黑" w:hAnsi="微软雅黑" w:eastAsia="微软雅黑"/>
        </w:rPr>
        <w:t>北京搜知数据科技有限公司</w:t>
      </w:r>
    </w:p>
    <w:p>
      <w:pPr>
        <w:widowControl/>
        <w:spacing w:line="360" w:lineRule="auto"/>
        <w:jc w:val="right"/>
        <w:rPr>
          <w:rFonts w:ascii="微软雅黑" w:hAnsi="微软雅黑" w:eastAsia="微软雅黑" w:cs="宋体"/>
          <w:kern w:val="0"/>
          <w:sz w:val="24"/>
          <w:szCs w:val="24"/>
        </w:rPr>
      </w:pPr>
      <w:r>
        <w:rPr>
          <w:rFonts w:hint="eastAsia"/>
        </w:rPr>
        <w:drawing>
          <wp:inline distT="0" distB="0" distL="0" distR="0">
            <wp:extent cx="1626870" cy="56197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648578" cy="569401"/>
                    </a:xfrm>
                    <a:prstGeom prst="rect">
                      <a:avLst/>
                    </a:prstGeom>
                    <a:noFill/>
                    <a:ln>
                      <a:noFill/>
                    </a:ln>
                  </pic:spPr>
                </pic:pic>
              </a:graphicData>
            </a:graphic>
          </wp:inline>
        </w:drawing>
      </w:r>
    </w:p>
    <w:p>
      <w:pPr>
        <w:spacing w:line="360" w:lineRule="auto"/>
        <w:rPr>
          <w:rFonts w:ascii="微软雅黑" w:hAnsi="微软雅黑" w:eastAsia="微软雅黑"/>
        </w:rPr>
      </w:pPr>
    </w:p>
    <w:p>
      <w:pPr>
        <w:spacing w:line="360" w:lineRule="auto"/>
        <w:rPr>
          <w:rFonts w:ascii="微软雅黑" w:hAnsi="微软雅黑" w:eastAsia="微软雅黑"/>
        </w:rPr>
      </w:pPr>
    </w:p>
    <w:p>
      <w:pPr>
        <w:spacing w:line="420" w:lineRule="atLeast"/>
        <w:rPr>
          <w:rFonts w:ascii="微软雅黑" w:hAnsi="微软雅黑" w:eastAsia="微软雅黑"/>
          <w:b/>
          <w:bCs/>
          <w:sz w:val="24"/>
          <w:szCs w:val="24"/>
        </w:rPr>
      </w:pPr>
      <w:r>
        <w:rPr>
          <w:rFonts w:ascii="微软雅黑" w:hAnsi="微软雅黑" w:eastAsia="微软雅黑"/>
          <w:b/>
          <w:bCs/>
          <w:color w:val="FFFFFF"/>
          <w:sz w:val="24"/>
          <w:szCs w:val="24"/>
          <w:shd w:val="clear" w:color="auto" w:fill="4086A4" w:themeFill="background2" w:themeFillShade="80"/>
        </w:rPr>
        <mc:AlternateContent>
          <mc:Choice Requires="wps">
            <w:drawing>
              <wp:anchor distT="45720" distB="45720" distL="114300" distR="114300" simplePos="0" relativeHeight="251660288" behindDoc="0" locked="0" layoutInCell="1" allowOverlap="1">
                <wp:simplePos x="0" y="0"/>
                <wp:positionH relativeFrom="column">
                  <wp:posOffset>47625</wp:posOffset>
                </wp:positionH>
                <wp:positionV relativeFrom="paragraph">
                  <wp:posOffset>0</wp:posOffset>
                </wp:positionV>
                <wp:extent cx="1266825" cy="523875"/>
                <wp:effectExtent l="0" t="0" r="28575" b="28575"/>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266825" cy="523875"/>
                        </a:xfrm>
                        <a:prstGeom prst="rect">
                          <a:avLst/>
                        </a:prstGeom>
                      </wps:spPr>
                      <wps:style>
                        <a:lnRef idx="3">
                          <a:schemeClr val="lt1"/>
                        </a:lnRef>
                        <a:fillRef idx="1">
                          <a:schemeClr val="accent1"/>
                        </a:fillRef>
                        <a:effectRef idx="1">
                          <a:schemeClr val="accent1"/>
                        </a:effectRef>
                        <a:fontRef idx="minor">
                          <a:schemeClr val="lt1"/>
                        </a:fontRef>
                      </wps:style>
                      <wps:txbx>
                        <w:txbxContent>
                          <w:p>
                            <w:pPr>
                              <w:jc w:val="center"/>
                              <w:rPr>
                                <w:rFonts w:ascii="微软雅黑" w:hAnsi="微软雅黑" w:eastAsia="微软雅黑"/>
                                <w:b/>
                                <w:bCs/>
                                <w:spacing w:val="20"/>
                                <w:sz w:val="28"/>
                                <w:szCs w:val="28"/>
                              </w:rPr>
                            </w:pPr>
                            <w:r>
                              <w:rPr>
                                <w:rFonts w:hint="eastAsia" w:ascii="微软雅黑" w:hAnsi="微软雅黑" w:eastAsia="微软雅黑"/>
                                <w:b/>
                                <w:bCs/>
                                <w:spacing w:val="20"/>
                                <w:sz w:val="28"/>
                                <w:szCs w:val="28"/>
                              </w:rPr>
                              <w:t>系统简介</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3.75pt;margin-top:0pt;height:41.25pt;width:99.75pt;mso-wrap-distance-bottom:3.6pt;mso-wrap-distance-left:9pt;mso-wrap-distance-right:9pt;mso-wrap-distance-top:3.6pt;z-index:251660288;mso-width-relative:page;mso-height-relative:page;" fillcolor="#116EA1 [3204]" filled="t" stroked="t" coordsize="21600,21600" o:gfxdata="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MezKXDVAAAABQEAAA8AAAAAAAAAAQAgAAAAIgAAAGRycy9kb3ducmV2LnhtbFBLAQIUABQAAAAI&#10;AIdO4kC5rgSiYgIAALgEAAAOAAAAAAAAAAEAIAAAACQBAABkcnMvZTJvRG9jLnhtbFBLBQYAAAAA&#10;BgAGAFkBAAD4BQAAAAA=&#10;">
                <v:fill on="t" focussize="0,0"/>
                <v:stroke weight="1.5pt" color="#FFFFFF [3201]" miterlimit="8" joinstyle="miter"/>
                <v:imagedata o:title=""/>
                <o:lock v:ext="edit" aspectratio="f"/>
                <v:textbox>
                  <w:txbxContent>
                    <w:p>
                      <w:pPr>
                        <w:jc w:val="center"/>
                        <w:rPr>
                          <w:rFonts w:ascii="微软雅黑" w:hAnsi="微软雅黑" w:eastAsia="微软雅黑"/>
                          <w:b/>
                          <w:bCs/>
                          <w:spacing w:val="20"/>
                          <w:sz w:val="28"/>
                          <w:szCs w:val="28"/>
                        </w:rPr>
                      </w:pPr>
                      <w:r>
                        <w:rPr>
                          <w:rFonts w:hint="eastAsia" w:ascii="微软雅黑" w:hAnsi="微软雅黑" w:eastAsia="微软雅黑"/>
                          <w:b/>
                          <w:bCs/>
                          <w:spacing w:val="20"/>
                          <w:sz w:val="28"/>
                          <w:szCs w:val="28"/>
                        </w:rPr>
                        <w:t>系统简介</w:t>
                      </w:r>
                    </w:p>
                  </w:txbxContent>
                </v:textbox>
                <w10:wrap type="square"/>
              </v:shape>
            </w:pict>
          </mc:Fallback>
        </mc:AlternateContent>
      </w:r>
    </w:p>
    <w:p>
      <w:pPr>
        <w:spacing w:line="480" w:lineRule="exact"/>
        <w:rPr>
          <w:rFonts w:ascii="微软雅黑" w:hAnsi="微软雅黑" w:eastAsia="微软雅黑"/>
          <w:b/>
          <w:bCs/>
          <w:sz w:val="24"/>
          <w:szCs w:val="24"/>
        </w:rPr>
      </w:pPr>
    </w:p>
    <w:p>
      <w:pPr>
        <w:spacing w:line="480" w:lineRule="exact"/>
        <w:ind w:firstLine="420"/>
        <w:rPr>
          <w:rFonts w:ascii="微软雅黑" w:hAnsi="微软雅黑" w:eastAsia="微软雅黑"/>
          <w:b/>
          <w:bCs/>
          <w:color w:val="auto"/>
          <w:sz w:val="24"/>
          <w:szCs w:val="24"/>
        </w:rPr>
      </w:pPr>
      <w:r>
        <w:rPr>
          <w:rFonts w:hint="eastAsia" w:ascii="微软雅黑" w:hAnsi="微软雅黑" w:eastAsia="微软雅黑"/>
          <w:color w:val="auto"/>
          <w:kern w:val="0"/>
          <w:sz w:val="24"/>
          <w:szCs w:val="24"/>
        </w:rPr>
        <w:t>中国微观经济数据查询系统是一款以企业层面微观数据为基础，集数据查询、数据匹配、数据可视化于一体的微观数据查询系统。</w:t>
      </w:r>
    </w:p>
    <w:p>
      <w:pPr>
        <w:spacing w:line="480" w:lineRule="exact"/>
        <w:ind w:firstLine="420"/>
        <w:rPr>
          <w:rFonts w:ascii="微软雅黑" w:hAnsi="微软雅黑" w:eastAsia="微软雅黑"/>
          <w:color w:val="auto"/>
          <w:sz w:val="24"/>
          <w:szCs w:val="24"/>
        </w:rPr>
      </w:pPr>
      <w:r>
        <w:rPr>
          <w:rFonts w:hint="eastAsia" w:ascii="微软雅黑" w:hAnsi="微软雅黑" w:eastAsia="微软雅黑"/>
          <w:color w:val="auto"/>
          <w:sz w:val="24"/>
          <w:szCs w:val="24"/>
        </w:rPr>
        <w:t>中国微观经济数据查询系统目前包含工业企业数据库、海关企业数据库、创新企业数据库、绿色发展数据库</w:t>
      </w:r>
      <w:r>
        <w:rPr>
          <w:rFonts w:hint="eastAsia" w:ascii="微软雅黑" w:hAnsi="微软雅黑" w:eastAsia="微软雅黑"/>
          <w:color w:val="auto"/>
          <w:sz w:val="24"/>
          <w:szCs w:val="24"/>
          <w:lang w:eastAsia="zh-CN"/>
        </w:rPr>
        <w:t>、</w:t>
      </w:r>
      <w:r>
        <w:rPr>
          <w:rFonts w:hint="eastAsia" w:ascii="微软雅黑" w:hAnsi="微软雅黑" w:eastAsia="微软雅黑"/>
          <w:color w:val="auto"/>
          <w:sz w:val="24"/>
          <w:szCs w:val="24"/>
          <w:lang w:val="en-US" w:eastAsia="zh-CN"/>
        </w:rPr>
        <w:t>企业贡献数据库、企业工商数据库六</w:t>
      </w:r>
      <w:r>
        <w:rPr>
          <w:rFonts w:hint="eastAsia" w:ascii="微软雅黑" w:hAnsi="微软雅黑" w:eastAsia="微软雅黑"/>
          <w:color w:val="auto"/>
          <w:sz w:val="24"/>
          <w:szCs w:val="24"/>
        </w:rPr>
        <w:t>大专题数据库。</w:t>
      </w:r>
      <w:r>
        <w:rPr>
          <w:rFonts w:hint="eastAsia" w:ascii="微软雅黑" w:hAnsi="微软雅黑" w:eastAsia="微软雅黑"/>
          <w:color w:val="auto"/>
          <w:sz w:val="24"/>
          <w:szCs w:val="24"/>
          <w:lang w:val="en-US" w:eastAsia="zh-CN"/>
        </w:rPr>
        <w:t>除企业工商数据库外，剩余</w:t>
      </w:r>
      <w:r>
        <w:rPr>
          <w:rFonts w:hint="eastAsia" w:ascii="微软雅黑" w:hAnsi="微软雅黑" w:eastAsia="微软雅黑"/>
          <w:color w:val="auto"/>
          <w:sz w:val="24"/>
          <w:szCs w:val="24"/>
        </w:rPr>
        <w:t>数据库中包含了“单年数据查询”、“时间序列数据查询”、“单年可视化”、“时间序列可视化”四大部分</w:t>
      </w:r>
      <w:r>
        <w:rPr>
          <w:rFonts w:hint="eastAsia" w:ascii="微软雅黑" w:hAnsi="微软雅黑" w:eastAsia="微软雅黑"/>
          <w:color w:val="auto"/>
          <w:sz w:val="24"/>
          <w:szCs w:val="24"/>
          <w:lang w:eastAsia="zh-CN"/>
        </w:rPr>
        <w:t>，</w:t>
      </w:r>
      <w:r>
        <w:rPr>
          <w:rFonts w:hint="eastAsia" w:ascii="微软雅黑" w:hAnsi="微软雅黑" w:eastAsia="微软雅黑"/>
          <w:color w:val="auto"/>
          <w:sz w:val="24"/>
          <w:szCs w:val="24"/>
          <w:lang w:val="en-US" w:eastAsia="zh-CN"/>
        </w:rPr>
        <w:t>企业工商数据库则包含“企业批量查询”及“单家企业查询”两大功能</w:t>
      </w:r>
      <w:r>
        <w:rPr>
          <w:rFonts w:hint="eastAsia" w:ascii="微软雅黑" w:hAnsi="微软雅黑" w:eastAsia="微软雅黑"/>
          <w:color w:val="auto"/>
          <w:sz w:val="24"/>
          <w:szCs w:val="24"/>
        </w:rPr>
        <w:t>。同时，为方便用户进行跨学科、跨领域研究，我们增加了“跨库匹配”模块，实现不同专题数据库间的企业匹配。</w:t>
      </w:r>
    </w:p>
    <w:p>
      <w:pPr>
        <w:spacing w:line="480" w:lineRule="exact"/>
        <w:ind w:firstLine="420"/>
        <w:rPr>
          <w:rFonts w:ascii="微软雅黑" w:hAnsi="微软雅黑" w:eastAsia="微软雅黑"/>
          <w:color w:val="auto"/>
          <w:sz w:val="24"/>
          <w:szCs w:val="24"/>
        </w:rPr>
      </w:pPr>
      <w:r>
        <w:rPr>
          <w:rFonts w:hint="eastAsia" w:ascii="微软雅黑" w:hAnsi="微软雅黑" w:eastAsia="微软雅黑"/>
          <w:color w:val="auto"/>
          <w:sz w:val="24"/>
          <w:szCs w:val="24"/>
        </w:rPr>
        <w:t>中国微观经济数据查询系统操作简单，围绕数据获取与数据应用两大用户核心需求进行设计，改变了传统的以光盘为载体的微观数据线下提供方式，并对数据进行了专业的清洗与处理，在很大程度上解决了数据异常、填报不准确、难于匹配等问题，大大降低了数据的使用门槛，提升了数据的使用效率。</w:t>
      </w:r>
    </w:p>
    <w:p>
      <w:pPr>
        <w:spacing w:line="480" w:lineRule="exact"/>
        <w:ind w:firstLine="420"/>
        <w:rPr>
          <w:color w:val="auto"/>
        </w:rPr>
      </w:pPr>
      <w:r>
        <w:rPr>
          <w:rFonts w:hint="eastAsia" w:ascii="微软雅黑" w:hAnsi="微软雅黑" w:eastAsia="微软雅黑"/>
          <w:color w:val="auto"/>
          <w:sz w:val="24"/>
          <w:szCs w:val="24"/>
        </w:rPr>
        <w:t>中国微观经济数据查询系统聚焦于中国企业微观数据，为微观经济实证研究提供了有力的数据支持，特别适用于经管学科及跨学科研究。利用中国微观经济数据查询系统，可轻松获得截面数据、时间序列数据和面板数据，让使用者不再为数据清洗、处理所困扰，更专注于科研本身。</w:t>
      </w:r>
    </w:p>
    <w:p>
      <w:pPr>
        <w:spacing w:line="480" w:lineRule="exact"/>
        <w:ind w:firstLine="420"/>
        <w:rPr>
          <w:rFonts w:hint="eastAsia" w:ascii="微软雅黑" w:hAnsi="微软雅黑" w:eastAsia="微软雅黑"/>
          <w:color w:val="auto"/>
          <w:sz w:val="24"/>
          <w:szCs w:val="24"/>
        </w:rPr>
      </w:pPr>
      <w:bookmarkStart w:id="2" w:name="_GoBack"/>
      <w:bookmarkEnd w:id="2"/>
    </w:p>
    <w:p>
      <w:pPr>
        <w:rPr>
          <w:rFonts w:hint="eastAsia" w:ascii="微软雅黑" w:hAnsi="微软雅黑" w:eastAsia="微软雅黑"/>
          <w:color w:val="auto"/>
          <w:sz w:val="24"/>
          <w:szCs w:val="24"/>
        </w:rPr>
      </w:pPr>
      <w:r>
        <w:rPr>
          <w:rFonts w:hint="eastAsia" w:ascii="微软雅黑" w:hAnsi="微软雅黑" w:eastAsia="微软雅黑"/>
          <w:color w:val="auto"/>
          <w:sz w:val="24"/>
          <w:szCs w:val="24"/>
        </w:rPr>
        <w:br w:type="page"/>
      </w:r>
    </w:p>
    <w:p>
      <w:pPr>
        <w:spacing w:line="480" w:lineRule="exact"/>
        <w:ind w:firstLine="420"/>
        <w:rPr>
          <w:rFonts w:hint="eastAsia" w:ascii="微软雅黑" w:hAnsi="微软雅黑" w:eastAsia="微软雅黑"/>
          <w:color w:val="auto"/>
          <w:sz w:val="24"/>
          <w:szCs w:val="24"/>
        </w:rPr>
      </w:pPr>
    </w:p>
    <w:p>
      <w:pPr>
        <w:spacing w:line="420" w:lineRule="atLeast"/>
        <w:rPr>
          <w:rFonts w:ascii="微软雅黑" w:hAnsi="微软雅黑" w:eastAsia="微软雅黑"/>
          <w:b/>
          <w:bCs/>
          <w:color w:val="auto"/>
          <w:sz w:val="24"/>
          <w:szCs w:val="24"/>
        </w:rPr>
      </w:pPr>
      <w:r>
        <w:rPr>
          <w:rFonts w:ascii="微软雅黑" w:hAnsi="微软雅黑" w:eastAsia="微软雅黑"/>
          <w:b/>
          <w:bCs/>
          <w:color w:val="auto"/>
          <w:sz w:val="24"/>
          <w:szCs w:val="24"/>
          <w:shd w:val="clear" w:color="auto" w:fill="4086A4" w:themeFill="background2" w:themeFillShade="80"/>
        </w:rPr>
        <mc:AlternateContent>
          <mc:Choice Requires="wps">
            <w:drawing>
              <wp:anchor distT="45720" distB="45720" distL="114300" distR="114300" simplePos="0" relativeHeight="251661312" behindDoc="0" locked="0" layoutInCell="1" allowOverlap="1">
                <wp:simplePos x="0" y="0"/>
                <wp:positionH relativeFrom="column">
                  <wp:posOffset>-85725</wp:posOffset>
                </wp:positionH>
                <wp:positionV relativeFrom="paragraph">
                  <wp:posOffset>66675</wp:posOffset>
                </wp:positionV>
                <wp:extent cx="1247775" cy="523875"/>
                <wp:effectExtent l="0" t="0" r="28575" b="28575"/>
                <wp:wrapSquare wrapText="bothSides"/>
                <wp:docPr id="1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247775" cy="523875"/>
                        </a:xfrm>
                        <a:prstGeom prst="rect">
                          <a:avLst/>
                        </a:prstGeom>
                      </wps:spPr>
                      <wps:style>
                        <a:lnRef idx="3">
                          <a:schemeClr val="lt1"/>
                        </a:lnRef>
                        <a:fillRef idx="1">
                          <a:schemeClr val="accent1"/>
                        </a:fillRef>
                        <a:effectRef idx="1">
                          <a:schemeClr val="accent1"/>
                        </a:effectRef>
                        <a:fontRef idx="minor">
                          <a:schemeClr val="lt1"/>
                        </a:fontRef>
                      </wps:style>
                      <wps:txbx>
                        <w:txbxContent>
                          <w:p>
                            <w:pPr>
                              <w:jc w:val="center"/>
                              <w:rPr>
                                <w:rFonts w:ascii="微软雅黑" w:hAnsi="微软雅黑" w:eastAsia="微软雅黑"/>
                                <w:b/>
                                <w:bCs/>
                                <w:sz w:val="28"/>
                                <w:szCs w:val="28"/>
                              </w:rPr>
                            </w:pPr>
                            <w:r>
                              <w:rPr>
                                <w:rFonts w:hint="eastAsia" w:ascii="微软雅黑" w:hAnsi="微软雅黑" w:eastAsia="微软雅黑"/>
                                <w:b/>
                                <w:bCs/>
                                <w:sz w:val="28"/>
                                <w:szCs w:val="28"/>
                              </w:rPr>
                              <w:t>系统内容</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6.75pt;margin-top:5.25pt;height:41.25pt;width:98.25pt;mso-wrap-distance-bottom:3.6pt;mso-wrap-distance-left:9pt;mso-wrap-distance-right:9pt;mso-wrap-distance-top:3.6pt;z-index:251661312;mso-width-relative:page;mso-height-relative:page;" fillcolor="#116EA1 [3204]" filled="t" stroked="t" coordsize="21600,21600" o:gfxdata="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lCNzHdcAAAAJAQAADwAAAAAAAAABACAAAAAiAAAAZHJzL2Rvd25yZXYueG1sUEsBAhQAFAAAAAgA&#10;h07iQMrs8yRfAgAAtwQAAA4AAAAAAAAAAQAgAAAAJgEAAGRycy9lMm9Eb2MueG1sUEsFBgAAAAAG&#10;AAYAWQEAAPcFAAAAAA==&#10;">
                <v:fill on="t" focussize="0,0"/>
                <v:stroke weight="1.5pt" color="#FFFFFF [3201]" miterlimit="8" joinstyle="miter"/>
                <v:imagedata o:title=""/>
                <o:lock v:ext="edit" aspectratio="f"/>
                <v:textbox>
                  <w:txbxContent>
                    <w:p>
                      <w:pPr>
                        <w:jc w:val="center"/>
                        <w:rPr>
                          <w:rFonts w:ascii="微软雅黑" w:hAnsi="微软雅黑" w:eastAsia="微软雅黑"/>
                          <w:b/>
                          <w:bCs/>
                          <w:sz w:val="28"/>
                          <w:szCs w:val="28"/>
                        </w:rPr>
                      </w:pPr>
                      <w:r>
                        <w:rPr>
                          <w:rFonts w:hint="eastAsia" w:ascii="微软雅黑" w:hAnsi="微软雅黑" w:eastAsia="微软雅黑"/>
                          <w:b/>
                          <w:bCs/>
                          <w:sz w:val="28"/>
                          <w:szCs w:val="28"/>
                        </w:rPr>
                        <w:t>系统内容</w:t>
                      </w:r>
                    </w:p>
                  </w:txbxContent>
                </v:textbox>
                <w10:wrap type="square"/>
              </v:shape>
            </w:pict>
          </mc:Fallback>
        </mc:AlternateContent>
      </w:r>
    </w:p>
    <w:p>
      <w:pPr>
        <w:spacing w:line="360" w:lineRule="auto"/>
        <w:rPr>
          <w:rFonts w:ascii="微软雅黑" w:hAnsi="微软雅黑" w:eastAsia="微软雅黑"/>
          <w:b/>
          <w:bCs/>
          <w:color w:val="auto"/>
          <w:szCs w:val="21"/>
        </w:rPr>
      </w:pPr>
    </w:p>
    <w:p>
      <w:pPr>
        <w:spacing w:line="480" w:lineRule="exact"/>
        <w:rPr>
          <w:rFonts w:ascii="微软雅黑" w:hAnsi="微软雅黑" w:eastAsia="微软雅黑"/>
          <w:b/>
          <w:bCs/>
          <w:color w:val="auto"/>
          <w:sz w:val="28"/>
          <w:szCs w:val="28"/>
        </w:rPr>
      </w:pPr>
      <w:r>
        <w:rPr>
          <w:rFonts w:hint="eastAsia" w:ascii="微软雅黑" w:hAnsi="微软雅黑" w:eastAsia="微软雅黑"/>
          <w:b/>
          <w:bCs/>
          <w:color w:val="auto"/>
          <w:sz w:val="28"/>
          <w:szCs w:val="28"/>
        </w:rPr>
        <w:t>模块一：中国工业企业数据库</w:t>
      </w:r>
    </w:p>
    <w:p>
      <w:pPr>
        <w:spacing w:line="480" w:lineRule="exact"/>
        <w:ind w:firstLine="420"/>
        <w:rPr>
          <w:rFonts w:ascii="微软雅黑" w:hAnsi="微软雅黑" w:eastAsia="微软雅黑"/>
          <w:color w:val="auto"/>
          <w:sz w:val="24"/>
          <w:szCs w:val="24"/>
        </w:rPr>
      </w:pPr>
      <w:r>
        <w:rPr>
          <w:rFonts w:hint="eastAsia" w:ascii="微软雅黑" w:hAnsi="微软雅黑" w:eastAsia="微软雅黑"/>
          <w:color w:val="auto"/>
          <w:sz w:val="24"/>
          <w:szCs w:val="24"/>
        </w:rPr>
        <w:t>中国工业企业数据库提供了1</w:t>
      </w:r>
      <w:r>
        <w:rPr>
          <w:rFonts w:ascii="微软雅黑" w:hAnsi="微软雅黑" w:eastAsia="微软雅黑"/>
          <w:color w:val="auto"/>
          <w:sz w:val="24"/>
          <w:szCs w:val="24"/>
        </w:rPr>
        <w:t>998</w:t>
      </w:r>
      <w:r>
        <w:rPr>
          <w:rFonts w:hint="eastAsia" w:ascii="微软雅黑" w:hAnsi="微软雅黑" w:eastAsia="微软雅黑"/>
          <w:color w:val="auto"/>
          <w:sz w:val="24"/>
          <w:szCs w:val="24"/>
        </w:rPr>
        <w:t>-</w:t>
      </w:r>
      <w:r>
        <w:rPr>
          <w:rFonts w:ascii="微软雅黑" w:hAnsi="微软雅黑" w:eastAsia="微软雅黑"/>
          <w:color w:val="auto"/>
          <w:sz w:val="24"/>
          <w:szCs w:val="24"/>
        </w:rPr>
        <w:t>2015</w:t>
      </w:r>
      <w:r>
        <w:rPr>
          <w:rFonts w:hint="eastAsia" w:ascii="微软雅黑" w:hAnsi="微软雅黑" w:eastAsia="微软雅黑"/>
          <w:color w:val="auto"/>
          <w:sz w:val="24"/>
          <w:szCs w:val="24"/>
        </w:rPr>
        <w:t>年规模以上工业企业数据（</w:t>
      </w:r>
      <w:r>
        <w:rPr>
          <w:rFonts w:ascii="微软雅黑" w:hAnsi="微软雅黑" w:eastAsia="微软雅黑"/>
          <w:color w:val="auto"/>
          <w:sz w:val="24"/>
          <w:szCs w:val="24"/>
        </w:rPr>
        <w:t>1998-2006年为全部国有工业企业及年销售收入500万元及以上的非国有工业企业，2007-2010年调整为年主营业务收入达到500万元及以上的工业法人企业，2011年调整为年主营业务收入达到2000万元及以上的工业法人企业）</w:t>
      </w:r>
      <w:r>
        <w:rPr>
          <w:rFonts w:hint="eastAsia" w:ascii="微软雅黑" w:hAnsi="微软雅黑" w:eastAsia="微软雅黑"/>
          <w:color w:val="auto"/>
          <w:sz w:val="24"/>
          <w:szCs w:val="24"/>
        </w:rPr>
        <w:t>。数据来源于国家统计局，依据《工业统计报表制度》而进行的工业调查统计。统计字段包含企业基本信息、企业生产与财务信息两大类别，其中企业生产与财务信息包含产业活动、企业生产销售及职工情况、资产负债表、损益表、现金流量表等。是研究中国产业与发展问题的重要数据集。</w:t>
      </w:r>
    </w:p>
    <w:p>
      <w:pPr>
        <w:spacing w:line="480" w:lineRule="exact"/>
        <w:rPr>
          <w:rFonts w:ascii="微软雅黑" w:hAnsi="微软雅黑" w:eastAsia="微软雅黑"/>
          <w:color w:val="auto"/>
          <w:sz w:val="24"/>
          <w:szCs w:val="24"/>
        </w:rPr>
      </w:pPr>
      <w:r>
        <w:rPr>
          <w:rFonts w:ascii="微软雅黑" w:hAnsi="微软雅黑" w:eastAsia="微软雅黑"/>
          <w:color w:val="auto"/>
          <w:sz w:val="24"/>
          <w:szCs w:val="24"/>
        </w:rPr>
        <w:tab/>
      </w:r>
      <w:r>
        <w:rPr>
          <w:rFonts w:hint="eastAsia" w:ascii="微软雅黑" w:hAnsi="微软雅黑" w:eastAsia="微软雅黑"/>
          <w:color w:val="auto"/>
          <w:sz w:val="24"/>
          <w:szCs w:val="24"/>
        </w:rPr>
        <w:t>中国工业企业数据库包括单年数据查询、时间序列查询、单年可视化、时间序列可视化等四部分。</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rPr>
        <w:t>单年查询</w:t>
      </w:r>
    </w:p>
    <w:p>
      <w:pPr>
        <w:spacing w:line="480" w:lineRule="exact"/>
        <w:ind w:firstLine="420"/>
        <w:rPr>
          <w:rFonts w:ascii="微软雅黑" w:hAnsi="微软雅黑" w:eastAsia="微软雅黑"/>
          <w:color w:val="auto"/>
          <w:sz w:val="24"/>
        </w:rPr>
      </w:pPr>
      <w:r>
        <w:rPr>
          <w:rFonts w:hint="eastAsia" w:ascii="微软雅黑" w:hAnsi="微软雅黑" w:eastAsia="微软雅黑"/>
          <w:color w:val="auto"/>
          <w:sz w:val="24"/>
        </w:rPr>
        <w:t>实现对1</w:t>
      </w:r>
      <w:r>
        <w:rPr>
          <w:rFonts w:ascii="微软雅黑" w:hAnsi="微软雅黑" w:eastAsia="微软雅黑"/>
          <w:color w:val="auto"/>
          <w:sz w:val="24"/>
        </w:rPr>
        <w:t>998-2015</w:t>
      </w:r>
      <w:r>
        <w:rPr>
          <w:rFonts w:hint="eastAsia" w:ascii="微软雅黑" w:hAnsi="微软雅黑" w:eastAsia="微软雅黑"/>
          <w:color w:val="auto"/>
          <w:sz w:val="24"/>
        </w:rPr>
        <w:t>年间某一年度的全部企业数据按一定筛选条件进行的查询，用户可便捷的下载到研究所需的数据内容。</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rPr>
        <w:t>时间序列查询</w:t>
      </w:r>
    </w:p>
    <w:p>
      <w:pPr>
        <w:spacing w:line="480" w:lineRule="exact"/>
        <w:ind w:firstLine="420"/>
        <w:rPr>
          <w:rFonts w:ascii="微软雅黑" w:hAnsi="微软雅黑" w:eastAsia="微软雅黑"/>
          <w:color w:val="auto"/>
          <w:sz w:val="24"/>
        </w:rPr>
      </w:pPr>
      <w:r>
        <w:rPr>
          <w:rFonts w:hint="eastAsia" w:ascii="微软雅黑" w:hAnsi="微软雅黑" w:eastAsia="微软雅黑"/>
          <w:color w:val="auto"/>
          <w:sz w:val="24"/>
        </w:rPr>
        <w:t>采用“序贯匹配法”，对不同年份的企业进行匹配。用户可轻松获得1</w:t>
      </w:r>
      <w:r>
        <w:rPr>
          <w:rFonts w:ascii="微软雅黑" w:hAnsi="微软雅黑" w:eastAsia="微软雅黑"/>
          <w:color w:val="auto"/>
          <w:sz w:val="24"/>
        </w:rPr>
        <w:t>998</w:t>
      </w:r>
      <w:r>
        <w:rPr>
          <w:rFonts w:hint="eastAsia" w:ascii="微软雅黑" w:hAnsi="微软雅黑" w:eastAsia="微软雅黑"/>
          <w:color w:val="auto"/>
          <w:sz w:val="24"/>
        </w:rPr>
        <w:t>-</w:t>
      </w:r>
      <w:r>
        <w:rPr>
          <w:rFonts w:ascii="微软雅黑" w:hAnsi="微软雅黑" w:eastAsia="微软雅黑"/>
          <w:color w:val="auto"/>
          <w:sz w:val="24"/>
        </w:rPr>
        <w:t>201</w:t>
      </w:r>
      <w:r>
        <w:rPr>
          <w:rFonts w:hint="eastAsia" w:ascii="微软雅黑" w:hAnsi="微软雅黑" w:eastAsia="微软雅黑"/>
          <w:color w:val="auto"/>
          <w:sz w:val="24"/>
        </w:rPr>
        <w:t>3年任意起止年份间企业匹配后的面板数据。</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rPr>
        <w:t>单年可视化</w:t>
      </w:r>
    </w:p>
    <w:p>
      <w:pPr>
        <w:spacing w:line="480" w:lineRule="exact"/>
        <w:ind w:firstLine="420"/>
        <w:rPr>
          <w:rFonts w:ascii="微软雅黑" w:hAnsi="微软雅黑" w:eastAsia="微软雅黑"/>
          <w:color w:val="auto"/>
          <w:sz w:val="24"/>
        </w:rPr>
      </w:pPr>
      <w:r>
        <w:rPr>
          <w:rFonts w:hint="eastAsia" w:ascii="微软雅黑" w:hAnsi="微软雅黑" w:eastAsia="微软雅黑"/>
          <w:color w:val="auto"/>
          <w:sz w:val="24"/>
        </w:rPr>
        <w:t>提供1</w:t>
      </w:r>
      <w:r>
        <w:rPr>
          <w:rFonts w:ascii="微软雅黑" w:hAnsi="微软雅黑" w:eastAsia="微软雅黑"/>
          <w:color w:val="auto"/>
          <w:sz w:val="24"/>
        </w:rPr>
        <w:t>998-2015</w:t>
      </w:r>
      <w:r>
        <w:rPr>
          <w:rFonts w:hint="eastAsia" w:ascii="微软雅黑" w:hAnsi="微软雅黑" w:eastAsia="微软雅黑"/>
          <w:color w:val="auto"/>
          <w:sz w:val="24"/>
        </w:rPr>
        <w:t>年间每年财务指标的按企业所在地统计（省级数字地图、柱形-折线混合图）、按企业所属国民经济行业大类统计（条形图）、按企业控股情况统计（圆环图）、按企业登记注册类型统计（圆环图）、按企业隶属关系统计（条形图）。</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rPr>
        <w:t>时间序列可视化</w:t>
      </w:r>
    </w:p>
    <w:p>
      <w:pPr>
        <w:spacing w:line="480" w:lineRule="exact"/>
        <w:ind w:firstLine="420"/>
        <w:rPr>
          <w:rFonts w:ascii="微软雅黑" w:hAnsi="微软雅黑" w:eastAsia="微软雅黑"/>
          <w:color w:val="auto"/>
          <w:sz w:val="24"/>
        </w:rPr>
      </w:pPr>
      <w:r>
        <w:rPr>
          <w:rFonts w:hint="eastAsia" w:ascii="微软雅黑" w:hAnsi="微软雅黑" w:eastAsia="微软雅黑"/>
          <w:color w:val="auto"/>
          <w:sz w:val="24"/>
        </w:rPr>
        <w:t>提供1</w:t>
      </w:r>
      <w:r>
        <w:rPr>
          <w:rFonts w:ascii="微软雅黑" w:hAnsi="微软雅黑" w:eastAsia="微软雅黑"/>
          <w:color w:val="auto"/>
          <w:sz w:val="24"/>
        </w:rPr>
        <w:t>998-2015</w:t>
      </w:r>
      <w:r>
        <w:rPr>
          <w:rFonts w:hint="eastAsia" w:ascii="微软雅黑" w:hAnsi="微软雅黑" w:eastAsia="微软雅黑"/>
          <w:color w:val="auto"/>
          <w:sz w:val="24"/>
        </w:rPr>
        <w:t>年任意起止年份间财务指标的按企业所在地统计（折线图、面积图）、按企业登记注册类型统计（折线图、面积图）、按企业隶属关系统计（堆积柱形图）、按企业控股情况统计（堆积柱形图）。</w:t>
      </w:r>
    </w:p>
    <w:p>
      <w:pPr>
        <w:spacing w:line="480" w:lineRule="exact"/>
        <w:rPr>
          <w:rFonts w:hint="eastAsia" w:ascii="微软雅黑" w:hAnsi="微软雅黑" w:eastAsia="微软雅黑"/>
          <w:b/>
          <w:bCs/>
          <w:color w:val="auto"/>
          <w:sz w:val="28"/>
          <w:szCs w:val="28"/>
        </w:rPr>
      </w:pPr>
    </w:p>
    <w:p>
      <w:pPr>
        <w:spacing w:line="480" w:lineRule="exact"/>
        <w:rPr>
          <w:rFonts w:ascii="微软雅黑" w:hAnsi="微软雅黑" w:eastAsia="微软雅黑"/>
          <w:b/>
          <w:bCs/>
          <w:color w:val="auto"/>
          <w:sz w:val="28"/>
          <w:szCs w:val="28"/>
        </w:rPr>
      </w:pPr>
      <w:r>
        <w:rPr>
          <w:rFonts w:hint="eastAsia" w:ascii="微软雅黑" w:hAnsi="微软雅黑" w:eastAsia="微软雅黑"/>
          <w:b/>
          <w:bCs/>
          <w:color w:val="auto"/>
          <w:sz w:val="28"/>
          <w:szCs w:val="28"/>
        </w:rPr>
        <w:t>模块二：海关企业数据库</w:t>
      </w:r>
    </w:p>
    <w:p>
      <w:pPr>
        <w:spacing w:line="480" w:lineRule="exact"/>
        <w:rPr>
          <w:rFonts w:ascii="微软雅黑" w:hAnsi="微软雅黑" w:eastAsia="微软雅黑"/>
          <w:color w:val="auto"/>
          <w:sz w:val="24"/>
          <w:szCs w:val="24"/>
        </w:rPr>
      </w:pPr>
      <w:r>
        <w:rPr>
          <w:rFonts w:ascii="微软雅黑" w:hAnsi="微软雅黑" w:eastAsia="微软雅黑"/>
          <w:color w:val="auto"/>
        </w:rPr>
        <w:tab/>
      </w:r>
      <w:r>
        <w:rPr>
          <w:rFonts w:hint="eastAsia" w:ascii="微软雅黑" w:hAnsi="微软雅黑" w:eastAsia="微软雅黑"/>
          <w:color w:val="auto"/>
          <w:sz w:val="24"/>
          <w:szCs w:val="24"/>
        </w:rPr>
        <w:t>海关企业数据库提供了2</w:t>
      </w:r>
      <w:r>
        <w:rPr>
          <w:rFonts w:ascii="微软雅黑" w:hAnsi="微软雅黑" w:eastAsia="微软雅黑"/>
          <w:color w:val="auto"/>
          <w:sz w:val="24"/>
          <w:szCs w:val="24"/>
        </w:rPr>
        <w:t>000-2016</w:t>
      </w:r>
      <w:r>
        <w:rPr>
          <w:rFonts w:hint="eastAsia" w:ascii="微软雅黑" w:hAnsi="微软雅黑" w:eastAsia="微软雅黑"/>
          <w:color w:val="auto"/>
          <w:sz w:val="24"/>
          <w:szCs w:val="24"/>
        </w:rPr>
        <w:t>年每年发生进出口的中国企业，数据来源于进出口企业提交给海关总署的贸易数据，每年记录在1000万条以上。统计字段主要有企业基本信息、HS商品（8位码）、收发货地、中转国、产销国、海关口岸、贸易方式、运输方式等，可用于研究中国企业的国际贸易行为。</w:t>
      </w:r>
    </w:p>
    <w:p>
      <w:pPr>
        <w:spacing w:line="480" w:lineRule="exact"/>
        <w:ind w:firstLine="420"/>
        <w:rPr>
          <w:rFonts w:ascii="微软雅黑" w:hAnsi="微软雅黑" w:eastAsia="微软雅黑"/>
          <w:color w:val="auto"/>
          <w:sz w:val="24"/>
          <w:szCs w:val="24"/>
        </w:rPr>
      </w:pPr>
      <w:r>
        <w:rPr>
          <w:rFonts w:hint="eastAsia" w:ascii="微软雅黑" w:hAnsi="微软雅黑" w:eastAsia="微软雅黑"/>
          <w:color w:val="auto"/>
          <w:sz w:val="24"/>
          <w:szCs w:val="24"/>
        </w:rPr>
        <w:t>海关企业数据库包括单年数据查询、时间序列查询、单年可视化、时间序列可视化等四部分。</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rPr>
        <w:t>单年查询</w:t>
      </w:r>
    </w:p>
    <w:p>
      <w:pPr>
        <w:spacing w:line="480" w:lineRule="exact"/>
        <w:ind w:firstLine="420"/>
        <w:rPr>
          <w:rFonts w:ascii="微软雅黑" w:hAnsi="微软雅黑" w:eastAsia="微软雅黑"/>
          <w:color w:val="auto"/>
          <w:sz w:val="24"/>
        </w:rPr>
      </w:pPr>
      <w:r>
        <w:rPr>
          <w:rFonts w:hint="eastAsia" w:ascii="微软雅黑" w:hAnsi="微软雅黑" w:eastAsia="微软雅黑"/>
          <w:color w:val="auto"/>
          <w:sz w:val="24"/>
        </w:rPr>
        <w:t>实现对</w:t>
      </w:r>
      <w:r>
        <w:rPr>
          <w:rFonts w:ascii="微软雅黑" w:hAnsi="微软雅黑" w:eastAsia="微软雅黑"/>
          <w:color w:val="auto"/>
          <w:sz w:val="24"/>
        </w:rPr>
        <w:t>2000-2016</w:t>
      </w:r>
      <w:r>
        <w:rPr>
          <w:rFonts w:hint="eastAsia" w:ascii="微软雅黑" w:hAnsi="微软雅黑" w:eastAsia="微软雅黑"/>
          <w:color w:val="auto"/>
          <w:sz w:val="24"/>
        </w:rPr>
        <w:t>年间某一年度的全部数据按一定筛选条件进行的查询，用户可便捷的下载到研究所需的数据内容。</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rPr>
        <w:t>时间序列查询</w:t>
      </w:r>
    </w:p>
    <w:p>
      <w:pPr>
        <w:spacing w:line="480" w:lineRule="exact"/>
        <w:ind w:firstLine="420"/>
        <w:rPr>
          <w:rFonts w:ascii="微软雅黑" w:hAnsi="微软雅黑" w:eastAsia="微软雅黑"/>
          <w:color w:val="auto"/>
          <w:sz w:val="24"/>
        </w:rPr>
      </w:pPr>
      <w:r>
        <w:rPr>
          <w:rFonts w:hint="eastAsia" w:ascii="微软雅黑" w:hAnsi="微软雅黑" w:eastAsia="微软雅黑"/>
          <w:color w:val="auto"/>
          <w:sz w:val="24"/>
        </w:rPr>
        <w:t>采用专业化清洗与匹配方式，对不同年份的企业进行匹配。用户可轻松获得</w:t>
      </w:r>
      <w:r>
        <w:rPr>
          <w:rFonts w:ascii="微软雅黑" w:hAnsi="微软雅黑" w:eastAsia="微软雅黑"/>
          <w:color w:val="auto"/>
          <w:sz w:val="24"/>
        </w:rPr>
        <w:t>2000</w:t>
      </w:r>
      <w:r>
        <w:rPr>
          <w:rFonts w:hint="eastAsia" w:ascii="微软雅黑" w:hAnsi="微软雅黑" w:eastAsia="微软雅黑"/>
          <w:color w:val="auto"/>
          <w:sz w:val="24"/>
        </w:rPr>
        <w:t>-</w:t>
      </w:r>
      <w:r>
        <w:rPr>
          <w:rFonts w:ascii="微软雅黑" w:hAnsi="微软雅黑" w:eastAsia="微软雅黑"/>
          <w:color w:val="auto"/>
          <w:sz w:val="24"/>
        </w:rPr>
        <w:t>2016</w:t>
      </w:r>
      <w:r>
        <w:rPr>
          <w:rFonts w:hint="eastAsia" w:ascii="微软雅黑" w:hAnsi="微软雅黑" w:eastAsia="微软雅黑"/>
          <w:color w:val="auto"/>
          <w:sz w:val="24"/>
        </w:rPr>
        <w:t>年任意起止年份间企业匹配后的面板数据。</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rPr>
        <w:t>单年可视化</w:t>
      </w:r>
    </w:p>
    <w:p>
      <w:pPr>
        <w:spacing w:line="480" w:lineRule="exact"/>
        <w:ind w:firstLine="480" w:firstLineChars="200"/>
        <w:rPr>
          <w:rFonts w:ascii="微软雅黑" w:hAnsi="微软雅黑" w:eastAsia="微软雅黑"/>
          <w:color w:val="auto"/>
          <w:sz w:val="24"/>
        </w:rPr>
      </w:pPr>
      <w:r>
        <w:rPr>
          <w:rFonts w:hint="eastAsia" w:ascii="微软雅黑" w:hAnsi="微软雅黑" w:eastAsia="微软雅黑"/>
          <w:color w:val="auto"/>
          <w:sz w:val="24"/>
        </w:rPr>
        <w:t>提供2</w:t>
      </w:r>
      <w:r>
        <w:rPr>
          <w:rFonts w:ascii="微软雅黑" w:hAnsi="微软雅黑" w:eastAsia="微软雅黑"/>
          <w:color w:val="auto"/>
          <w:sz w:val="24"/>
        </w:rPr>
        <w:t>000-2016</w:t>
      </w:r>
      <w:r>
        <w:rPr>
          <w:rFonts w:hint="eastAsia" w:ascii="微软雅黑" w:hAnsi="微软雅黑" w:eastAsia="微软雅黑"/>
          <w:color w:val="auto"/>
          <w:sz w:val="24"/>
        </w:rPr>
        <w:t>年间每年进、出口额的按国别统计（世界数字地图、条形图）、按企业所在地统计（条形图）、按企业性质统计（圆环图）、按H</w:t>
      </w:r>
      <w:r>
        <w:rPr>
          <w:rFonts w:ascii="微软雅黑" w:hAnsi="微软雅黑" w:eastAsia="微软雅黑"/>
          <w:color w:val="auto"/>
          <w:sz w:val="24"/>
        </w:rPr>
        <w:t>S</w:t>
      </w:r>
      <w:r>
        <w:rPr>
          <w:rFonts w:hint="eastAsia" w:ascii="微软雅黑" w:hAnsi="微软雅黑" w:eastAsia="微软雅黑"/>
          <w:color w:val="auto"/>
          <w:sz w:val="24"/>
        </w:rPr>
        <w:t>商品统计（矩形树图）、按运输方式统计（柱形-折线混合图）、按贸易方式统计（圆环图）。</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rPr>
        <w:t>时间序列可视化</w:t>
      </w:r>
    </w:p>
    <w:p>
      <w:pPr>
        <w:spacing w:line="480" w:lineRule="exact"/>
        <w:ind w:firstLine="420"/>
        <w:rPr>
          <w:rFonts w:ascii="微软雅黑" w:hAnsi="微软雅黑" w:eastAsia="微软雅黑"/>
          <w:color w:val="auto"/>
          <w:sz w:val="24"/>
        </w:rPr>
      </w:pPr>
      <w:r>
        <w:rPr>
          <w:rFonts w:hint="eastAsia" w:ascii="微软雅黑" w:hAnsi="微软雅黑" w:eastAsia="微软雅黑"/>
          <w:color w:val="auto"/>
          <w:sz w:val="24"/>
        </w:rPr>
        <w:t>提供2</w:t>
      </w:r>
      <w:r>
        <w:rPr>
          <w:rFonts w:ascii="微软雅黑" w:hAnsi="微软雅黑" w:eastAsia="微软雅黑"/>
          <w:color w:val="auto"/>
          <w:sz w:val="24"/>
        </w:rPr>
        <w:t>000-2016</w:t>
      </w:r>
      <w:r>
        <w:rPr>
          <w:rFonts w:hint="eastAsia" w:ascii="微软雅黑" w:hAnsi="微软雅黑" w:eastAsia="微软雅黑"/>
          <w:color w:val="auto"/>
          <w:sz w:val="24"/>
        </w:rPr>
        <w:t>年任意起止年份间进、出口额的按国别统计（世界数字地图、条形图）、按企业所在地统计（条形图）、按企业性质统计（堆积柱形图）、按贸易方式统计（堆积柱形图）、按进出口金额统计（折线图）。</w:t>
      </w:r>
    </w:p>
    <w:p>
      <w:pPr>
        <w:spacing w:line="480" w:lineRule="exact"/>
        <w:rPr>
          <w:rFonts w:ascii="微软雅黑" w:hAnsi="微软雅黑" w:eastAsia="微软雅黑"/>
          <w:color w:val="auto"/>
          <w:sz w:val="24"/>
        </w:rPr>
      </w:pPr>
    </w:p>
    <w:p>
      <w:pPr>
        <w:spacing w:line="480" w:lineRule="exact"/>
        <w:rPr>
          <w:rFonts w:ascii="微软雅黑" w:hAnsi="微软雅黑" w:eastAsia="微软雅黑"/>
          <w:b/>
          <w:bCs/>
          <w:color w:val="auto"/>
          <w:sz w:val="28"/>
          <w:szCs w:val="28"/>
        </w:rPr>
      </w:pPr>
      <w:r>
        <w:rPr>
          <w:rFonts w:hint="eastAsia" w:ascii="微软雅黑" w:hAnsi="微软雅黑" w:eastAsia="微软雅黑"/>
          <w:b/>
          <w:bCs/>
          <w:color w:val="auto"/>
          <w:sz w:val="28"/>
          <w:szCs w:val="28"/>
        </w:rPr>
        <w:t>模块三：创新企业数据库</w:t>
      </w:r>
    </w:p>
    <w:p>
      <w:pPr>
        <w:spacing w:line="480" w:lineRule="exact"/>
        <w:ind w:firstLine="420"/>
        <w:rPr>
          <w:rFonts w:ascii="微软雅黑" w:hAnsi="微软雅黑" w:eastAsia="微软雅黑"/>
          <w:color w:val="auto"/>
          <w:sz w:val="24"/>
          <w:szCs w:val="24"/>
        </w:rPr>
      </w:pPr>
      <w:r>
        <w:rPr>
          <w:rFonts w:hint="eastAsia" w:ascii="微软雅黑" w:hAnsi="微软雅黑" w:eastAsia="微软雅黑"/>
          <w:color w:val="auto"/>
          <w:sz w:val="24"/>
          <w:szCs w:val="24"/>
        </w:rPr>
        <w:t>创新企业数据库提供了1</w:t>
      </w:r>
      <w:r>
        <w:rPr>
          <w:rFonts w:ascii="微软雅黑" w:hAnsi="微软雅黑" w:eastAsia="微软雅黑"/>
          <w:color w:val="auto"/>
          <w:sz w:val="24"/>
          <w:szCs w:val="24"/>
        </w:rPr>
        <w:t>998-2018</w:t>
      </w:r>
      <w:r>
        <w:rPr>
          <w:rFonts w:hint="eastAsia" w:ascii="微软雅黑" w:hAnsi="微软雅黑" w:eastAsia="微软雅黑"/>
          <w:color w:val="auto"/>
          <w:sz w:val="24"/>
          <w:szCs w:val="24"/>
        </w:rPr>
        <w:t>年中国规模以上工业企业的专利申请和授权情况，数据来源于国家知识产权局。统计字段主要有企业基本信息、三种专利申请、三种专利授权、三种专利非授权等信息，对于研究中国科技进步、实施创新驱动具有重大意义</w:t>
      </w:r>
    </w:p>
    <w:p>
      <w:pPr>
        <w:spacing w:line="480" w:lineRule="exact"/>
        <w:ind w:firstLine="420"/>
        <w:rPr>
          <w:rFonts w:ascii="微软雅黑" w:hAnsi="微软雅黑" w:eastAsia="微软雅黑"/>
          <w:color w:val="auto"/>
          <w:sz w:val="24"/>
          <w:szCs w:val="24"/>
        </w:rPr>
      </w:pPr>
      <w:r>
        <w:rPr>
          <w:rFonts w:hint="eastAsia" w:ascii="微软雅黑" w:hAnsi="微软雅黑" w:eastAsia="微软雅黑"/>
          <w:color w:val="auto"/>
          <w:sz w:val="24"/>
          <w:szCs w:val="24"/>
        </w:rPr>
        <w:t>创新企业数据库包括单年数据查询、时间序列查询、单年可视化、时间序列可视化等四部分。</w:t>
      </w:r>
    </w:p>
    <w:p>
      <w:pPr>
        <w:spacing w:line="480" w:lineRule="exact"/>
        <w:ind w:firstLine="420"/>
        <w:rPr>
          <w:rFonts w:ascii="微软雅黑" w:hAnsi="微软雅黑" w:eastAsia="微软雅黑"/>
          <w:color w:val="auto"/>
          <w:sz w:val="24"/>
          <w:szCs w:val="24"/>
        </w:rPr>
      </w:pPr>
      <w:r>
        <w:rPr>
          <w:rFonts w:hint="eastAsia" w:ascii="微软雅黑" w:hAnsi="微软雅黑" w:eastAsia="微软雅黑"/>
          <w:color w:val="auto"/>
          <w:sz w:val="24"/>
          <w:szCs w:val="24"/>
        </w:rPr>
        <w:t>注：这里2</w:t>
      </w:r>
      <w:r>
        <w:rPr>
          <w:rFonts w:ascii="微软雅黑" w:hAnsi="微软雅黑" w:eastAsia="微软雅黑"/>
          <w:color w:val="auto"/>
          <w:sz w:val="24"/>
          <w:szCs w:val="24"/>
        </w:rPr>
        <w:t>014-2018</w:t>
      </w:r>
      <w:r>
        <w:rPr>
          <w:rFonts w:hint="eastAsia" w:ascii="微软雅黑" w:hAnsi="微软雅黑" w:eastAsia="微软雅黑"/>
          <w:color w:val="auto"/>
          <w:sz w:val="24"/>
          <w:szCs w:val="24"/>
        </w:rPr>
        <w:t>年非全部工业企业样本。</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rPr>
        <w:t>单年查询</w:t>
      </w:r>
    </w:p>
    <w:p>
      <w:pPr>
        <w:spacing w:line="480" w:lineRule="exact"/>
        <w:ind w:firstLine="420"/>
        <w:rPr>
          <w:rFonts w:ascii="微软雅黑" w:hAnsi="微软雅黑" w:eastAsia="微软雅黑"/>
          <w:color w:val="auto"/>
          <w:sz w:val="24"/>
        </w:rPr>
      </w:pPr>
      <w:r>
        <w:rPr>
          <w:rFonts w:hint="eastAsia" w:ascii="微软雅黑" w:hAnsi="微软雅黑" w:eastAsia="微软雅黑"/>
          <w:color w:val="auto"/>
          <w:sz w:val="24"/>
        </w:rPr>
        <w:t>实现对</w:t>
      </w:r>
      <w:r>
        <w:rPr>
          <w:rFonts w:ascii="微软雅黑" w:hAnsi="微软雅黑" w:eastAsia="微软雅黑"/>
          <w:color w:val="auto"/>
          <w:sz w:val="24"/>
        </w:rPr>
        <w:t>1998-2018</w:t>
      </w:r>
      <w:r>
        <w:rPr>
          <w:rFonts w:hint="eastAsia" w:ascii="微软雅黑" w:hAnsi="微软雅黑" w:eastAsia="微软雅黑"/>
          <w:color w:val="auto"/>
          <w:sz w:val="24"/>
        </w:rPr>
        <w:t>年间某一年度的全部数据按一定筛选条件进行的查询，用户可便捷的下载到研究所需的数据内容。</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rPr>
        <w:t>时间序列查询</w:t>
      </w:r>
    </w:p>
    <w:p>
      <w:pPr>
        <w:spacing w:line="480" w:lineRule="exact"/>
        <w:ind w:firstLine="420"/>
        <w:rPr>
          <w:rFonts w:ascii="微软雅黑" w:hAnsi="微软雅黑" w:eastAsia="微软雅黑"/>
          <w:color w:val="auto"/>
          <w:sz w:val="24"/>
        </w:rPr>
      </w:pPr>
      <w:r>
        <w:rPr>
          <w:rFonts w:hint="eastAsia" w:ascii="微软雅黑" w:hAnsi="微软雅黑" w:eastAsia="微软雅黑"/>
          <w:color w:val="auto"/>
          <w:sz w:val="24"/>
        </w:rPr>
        <w:t>采用专业化清洗与匹配方式，对不同年份的企业进行匹配。用户可轻松获得</w:t>
      </w:r>
      <w:r>
        <w:rPr>
          <w:rFonts w:ascii="微软雅黑" w:hAnsi="微软雅黑" w:eastAsia="微软雅黑"/>
          <w:color w:val="auto"/>
          <w:sz w:val="24"/>
        </w:rPr>
        <w:t>1998</w:t>
      </w:r>
      <w:r>
        <w:rPr>
          <w:rFonts w:hint="eastAsia" w:ascii="微软雅黑" w:hAnsi="微软雅黑" w:eastAsia="微软雅黑"/>
          <w:color w:val="auto"/>
          <w:sz w:val="24"/>
        </w:rPr>
        <w:t>-</w:t>
      </w:r>
      <w:r>
        <w:rPr>
          <w:rFonts w:ascii="微软雅黑" w:hAnsi="微软雅黑" w:eastAsia="微软雅黑"/>
          <w:color w:val="auto"/>
          <w:sz w:val="24"/>
        </w:rPr>
        <w:t>2018</w:t>
      </w:r>
      <w:r>
        <w:rPr>
          <w:rFonts w:hint="eastAsia" w:ascii="微软雅黑" w:hAnsi="微软雅黑" w:eastAsia="微软雅黑"/>
          <w:color w:val="auto"/>
          <w:sz w:val="24"/>
        </w:rPr>
        <w:t>年任意起止年份间企业匹配后的面板数据。</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rPr>
        <w:t>单年可视化</w:t>
      </w:r>
    </w:p>
    <w:p>
      <w:pPr>
        <w:spacing w:line="480" w:lineRule="exact"/>
        <w:ind w:firstLine="480" w:firstLineChars="200"/>
        <w:rPr>
          <w:rFonts w:ascii="微软雅黑" w:hAnsi="微软雅黑" w:eastAsia="微软雅黑"/>
          <w:color w:val="auto"/>
          <w:sz w:val="24"/>
        </w:rPr>
      </w:pPr>
      <w:r>
        <w:rPr>
          <w:rFonts w:hint="eastAsia" w:ascii="微软雅黑" w:hAnsi="微软雅黑" w:eastAsia="微软雅黑"/>
          <w:color w:val="auto"/>
          <w:sz w:val="24"/>
        </w:rPr>
        <w:t>提供1</w:t>
      </w:r>
      <w:r>
        <w:rPr>
          <w:rFonts w:ascii="微软雅黑" w:hAnsi="微软雅黑" w:eastAsia="微软雅黑"/>
          <w:color w:val="auto"/>
          <w:sz w:val="24"/>
        </w:rPr>
        <w:t>998-2018</w:t>
      </w:r>
      <w:r>
        <w:rPr>
          <w:rFonts w:hint="eastAsia" w:ascii="微软雅黑" w:hAnsi="微软雅黑" w:eastAsia="微软雅黑"/>
          <w:color w:val="auto"/>
          <w:sz w:val="24"/>
        </w:rPr>
        <w:t>年间每年专利指标的按企业所在地统计（省级数字地图、柱形-折线混合图）、按企业登记注册类型统计（条形图）、按企业所属行业大类统计（条形图）、T</w:t>
      </w:r>
      <w:r>
        <w:rPr>
          <w:rFonts w:ascii="微软雅黑" w:hAnsi="微软雅黑" w:eastAsia="微软雅黑"/>
          <w:color w:val="auto"/>
          <w:sz w:val="24"/>
        </w:rPr>
        <w:t>OP10</w:t>
      </w:r>
      <w:r>
        <w:rPr>
          <w:rFonts w:hint="eastAsia" w:ascii="微软雅黑" w:hAnsi="微软雅黑" w:eastAsia="微软雅黑"/>
          <w:color w:val="auto"/>
          <w:sz w:val="24"/>
        </w:rPr>
        <w:t>企业（列表）。</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rPr>
        <w:t>时间序列可视化</w:t>
      </w:r>
    </w:p>
    <w:p>
      <w:pPr>
        <w:spacing w:line="480" w:lineRule="exact"/>
        <w:ind w:firstLine="420"/>
        <w:rPr>
          <w:rFonts w:ascii="微软雅黑" w:hAnsi="微软雅黑" w:eastAsia="微软雅黑"/>
          <w:color w:val="auto"/>
          <w:sz w:val="24"/>
        </w:rPr>
      </w:pPr>
      <w:r>
        <w:rPr>
          <w:rFonts w:hint="eastAsia" w:ascii="微软雅黑" w:hAnsi="微软雅黑" w:eastAsia="微软雅黑"/>
          <w:color w:val="auto"/>
          <w:sz w:val="24"/>
        </w:rPr>
        <w:t>提供1</w:t>
      </w:r>
      <w:r>
        <w:rPr>
          <w:rFonts w:ascii="微软雅黑" w:hAnsi="微软雅黑" w:eastAsia="微软雅黑"/>
          <w:color w:val="auto"/>
          <w:sz w:val="24"/>
        </w:rPr>
        <w:t>998-2018</w:t>
      </w:r>
      <w:r>
        <w:rPr>
          <w:rFonts w:hint="eastAsia" w:ascii="微软雅黑" w:hAnsi="微软雅黑" w:eastAsia="微软雅黑"/>
          <w:color w:val="auto"/>
          <w:sz w:val="24"/>
        </w:rPr>
        <w:t>年任意起止年份间企业专利指标的按企业所在地统计（线图、面积图）及其top</w:t>
      </w:r>
      <w:r>
        <w:rPr>
          <w:rFonts w:ascii="微软雅黑" w:hAnsi="微软雅黑" w:eastAsia="微软雅黑"/>
          <w:color w:val="auto"/>
          <w:sz w:val="24"/>
        </w:rPr>
        <w:t>10</w:t>
      </w:r>
      <w:r>
        <w:rPr>
          <w:rFonts w:hint="eastAsia" w:ascii="微软雅黑" w:hAnsi="微软雅黑" w:eastAsia="微软雅黑"/>
          <w:color w:val="auto"/>
          <w:sz w:val="24"/>
        </w:rPr>
        <w:t>企业列表、按企业所属行业大类统计（线图、面积图）及其top</w:t>
      </w:r>
      <w:r>
        <w:rPr>
          <w:rFonts w:ascii="微软雅黑" w:hAnsi="微软雅黑" w:eastAsia="微软雅黑"/>
          <w:color w:val="auto"/>
          <w:sz w:val="24"/>
        </w:rPr>
        <w:t>10</w:t>
      </w:r>
      <w:r>
        <w:rPr>
          <w:rFonts w:hint="eastAsia" w:ascii="微软雅黑" w:hAnsi="微软雅黑" w:eastAsia="微软雅黑"/>
          <w:color w:val="auto"/>
          <w:sz w:val="24"/>
        </w:rPr>
        <w:t>企业列表、按登记注册类型统计（线图、面积图）及其top</w:t>
      </w:r>
      <w:r>
        <w:rPr>
          <w:rFonts w:ascii="微软雅黑" w:hAnsi="微软雅黑" w:eastAsia="微软雅黑"/>
          <w:color w:val="auto"/>
          <w:sz w:val="24"/>
        </w:rPr>
        <w:t>10</w:t>
      </w:r>
      <w:r>
        <w:rPr>
          <w:rFonts w:hint="eastAsia" w:ascii="微软雅黑" w:hAnsi="微软雅黑" w:eastAsia="微软雅黑"/>
          <w:color w:val="auto"/>
          <w:sz w:val="24"/>
        </w:rPr>
        <w:t>企业列表。</w:t>
      </w:r>
    </w:p>
    <w:p>
      <w:pPr>
        <w:spacing w:line="480" w:lineRule="exact"/>
        <w:ind w:firstLine="420"/>
        <w:rPr>
          <w:rFonts w:ascii="微软雅黑" w:hAnsi="微软雅黑" w:eastAsia="微软雅黑"/>
          <w:color w:val="auto"/>
          <w:sz w:val="24"/>
        </w:rPr>
      </w:pPr>
    </w:p>
    <w:p>
      <w:pPr>
        <w:spacing w:line="480" w:lineRule="exact"/>
        <w:rPr>
          <w:rFonts w:ascii="微软雅黑" w:hAnsi="微软雅黑" w:eastAsia="微软雅黑"/>
          <w:b/>
          <w:bCs/>
          <w:color w:val="auto"/>
          <w:sz w:val="28"/>
          <w:szCs w:val="28"/>
        </w:rPr>
      </w:pPr>
      <w:r>
        <w:rPr>
          <w:rFonts w:hint="eastAsia" w:ascii="微软雅黑" w:hAnsi="微软雅黑" w:eastAsia="微软雅黑"/>
          <w:b/>
          <w:bCs/>
          <w:color w:val="auto"/>
          <w:sz w:val="28"/>
          <w:szCs w:val="28"/>
        </w:rPr>
        <w:t>模块四：绿色发展数据库</w:t>
      </w:r>
    </w:p>
    <w:p>
      <w:pPr>
        <w:spacing w:line="480" w:lineRule="exact"/>
        <w:ind w:firstLine="420"/>
        <w:rPr>
          <w:rFonts w:ascii="微软雅黑" w:hAnsi="微软雅黑" w:eastAsia="微软雅黑"/>
          <w:color w:val="auto"/>
          <w:sz w:val="24"/>
          <w:szCs w:val="24"/>
        </w:rPr>
      </w:pPr>
      <w:r>
        <w:rPr>
          <w:rFonts w:hint="eastAsia" w:ascii="微软雅黑" w:hAnsi="微软雅黑" w:eastAsia="微软雅黑"/>
          <w:color w:val="auto"/>
          <w:sz w:val="24"/>
          <w:szCs w:val="24"/>
        </w:rPr>
        <w:t>绿色发展数据库提供了1</w:t>
      </w:r>
      <w:r>
        <w:rPr>
          <w:rFonts w:ascii="微软雅黑" w:hAnsi="微软雅黑" w:eastAsia="微软雅黑"/>
          <w:color w:val="auto"/>
          <w:sz w:val="24"/>
          <w:szCs w:val="24"/>
        </w:rPr>
        <w:t>998-2014</w:t>
      </w:r>
      <w:r>
        <w:rPr>
          <w:rFonts w:hint="eastAsia" w:ascii="微软雅黑" w:hAnsi="微软雅黑" w:eastAsia="微软雅黑"/>
          <w:color w:val="auto"/>
          <w:sz w:val="24"/>
          <w:szCs w:val="24"/>
        </w:rPr>
        <w:t>年中国工业企业的排放排污和环境治理等信息，数据来源于原中国环保部。统计字段主要有企业基本信息、生产信息、水环境、大气环境，内容涵盖了资源利用类指标（工业用水量、煤炭消费量）、污染排放类指标（工业废水排放量、二氧化硫排放量），污染治理类指标（废水治理设施数、氮氧化物去除量）等数十项指标信息，对于研究中国环境治理、产业结构升级具有重要基础性意义。</w:t>
      </w:r>
    </w:p>
    <w:p>
      <w:pPr>
        <w:spacing w:line="480" w:lineRule="exact"/>
        <w:ind w:firstLine="420"/>
        <w:rPr>
          <w:rFonts w:ascii="微软雅黑" w:hAnsi="微软雅黑" w:eastAsia="微软雅黑"/>
          <w:color w:val="auto"/>
          <w:sz w:val="24"/>
          <w:szCs w:val="24"/>
        </w:rPr>
      </w:pPr>
      <w:r>
        <w:rPr>
          <w:rFonts w:hint="eastAsia" w:ascii="微软雅黑" w:hAnsi="微软雅黑" w:eastAsia="微软雅黑"/>
          <w:color w:val="auto"/>
          <w:sz w:val="24"/>
          <w:szCs w:val="24"/>
        </w:rPr>
        <w:t>绿色发展数据库包括单年数据查询、时间序列查询、单年可视化、时间序列可视化等四部分。</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rPr>
        <w:t>单年查询</w:t>
      </w:r>
    </w:p>
    <w:p>
      <w:pPr>
        <w:spacing w:line="480" w:lineRule="exact"/>
        <w:ind w:firstLine="420"/>
        <w:rPr>
          <w:rFonts w:ascii="微软雅黑" w:hAnsi="微软雅黑" w:eastAsia="微软雅黑"/>
          <w:color w:val="auto"/>
          <w:sz w:val="24"/>
        </w:rPr>
      </w:pPr>
      <w:r>
        <w:rPr>
          <w:rFonts w:hint="eastAsia" w:ascii="微软雅黑" w:hAnsi="微软雅黑" w:eastAsia="微软雅黑"/>
          <w:color w:val="auto"/>
          <w:sz w:val="24"/>
        </w:rPr>
        <w:t>实现对</w:t>
      </w:r>
      <w:r>
        <w:rPr>
          <w:rFonts w:ascii="微软雅黑" w:hAnsi="微软雅黑" w:eastAsia="微软雅黑"/>
          <w:color w:val="auto"/>
          <w:sz w:val="24"/>
        </w:rPr>
        <w:t>1998-2014</w:t>
      </w:r>
      <w:r>
        <w:rPr>
          <w:rFonts w:hint="eastAsia" w:ascii="微软雅黑" w:hAnsi="微软雅黑" w:eastAsia="微软雅黑"/>
          <w:color w:val="auto"/>
          <w:sz w:val="24"/>
        </w:rPr>
        <w:t>年间某一年度的全部数据按一定筛选条件进行的查询，用户可便捷的下载到研究所需的数据内容。</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rPr>
        <w:t>时间序列查询</w:t>
      </w:r>
    </w:p>
    <w:p>
      <w:pPr>
        <w:spacing w:line="480" w:lineRule="exact"/>
        <w:ind w:firstLine="420"/>
        <w:rPr>
          <w:rFonts w:ascii="微软雅黑" w:hAnsi="微软雅黑" w:eastAsia="微软雅黑"/>
          <w:color w:val="auto"/>
          <w:sz w:val="24"/>
        </w:rPr>
      </w:pPr>
      <w:r>
        <w:rPr>
          <w:rFonts w:hint="eastAsia" w:ascii="微软雅黑" w:hAnsi="微软雅黑" w:eastAsia="微软雅黑"/>
          <w:color w:val="auto"/>
          <w:sz w:val="24"/>
        </w:rPr>
        <w:t>采用专业化清洗与匹配方式，对不同年份的企业进行匹配。用户可轻松获得</w:t>
      </w:r>
      <w:r>
        <w:rPr>
          <w:rFonts w:ascii="微软雅黑" w:hAnsi="微软雅黑" w:eastAsia="微软雅黑"/>
          <w:color w:val="auto"/>
          <w:sz w:val="24"/>
        </w:rPr>
        <w:t>1998</w:t>
      </w:r>
      <w:r>
        <w:rPr>
          <w:rFonts w:hint="eastAsia" w:ascii="微软雅黑" w:hAnsi="微软雅黑" w:eastAsia="微软雅黑"/>
          <w:color w:val="auto"/>
          <w:sz w:val="24"/>
        </w:rPr>
        <w:t>-</w:t>
      </w:r>
      <w:r>
        <w:rPr>
          <w:rFonts w:ascii="微软雅黑" w:hAnsi="微软雅黑" w:eastAsia="微软雅黑"/>
          <w:color w:val="auto"/>
          <w:sz w:val="24"/>
        </w:rPr>
        <w:t>2012</w:t>
      </w:r>
      <w:r>
        <w:rPr>
          <w:rFonts w:hint="eastAsia" w:ascii="微软雅黑" w:hAnsi="微软雅黑" w:eastAsia="微软雅黑"/>
          <w:color w:val="auto"/>
          <w:sz w:val="24"/>
        </w:rPr>
        <w:t>年任意起止年份间企业匹配后的面板数据。</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rPr>
        <w:t>单年可视化</w:t>
      </w:r>
    </w:p>
    <w:p>
      <w:pPr>
        <w:spacing w:line="480" w:lineRule="exact"/>
        <w:ind w:firstLine="480" w:firstLineChars="200"/>
        <w:rPr>
          <w:rFonts w:ascii="微软雅黑" w:hAnsi="微软雅黑" w:eastAsia="微软雅黑"/>
          <w:color w:val="auto"/>
          <w:sz w:val="24"/>
        </w:rPr>
      </w:pPr>
      <w:r>
        <w:rPr>
          <w:rFonts w:hint="eastAsia" w:ascii="微软雅黑" w:hAnsi="微软雅黑" w:eastAsia="微软雅黑"/>
          <w:color w:val="auto"/>
          <w:sz w:val="24"/>
        </w:rPr>
        <w:t>提供1</w:t>
      </w:r>
      <w:r>
        <w:rPr>
          <w:rFonts w:ascii="微软雅黑" w:hAnsi="微软雅黑" w:eastAsia="微软雅黑"/>
          <w:color w:val="auto"/>
          <w:sz w:val="24"/>
        </w:rPr>
        <w:t>998-2014</w:t>
      </w:r>
      <w:r>
        <w:rPr>
          <w:rFonts w:hint="eastAsia" w:ascii="微软雅黑" w:hAnsi="微软雅黑" w:eastAsia="微软雅黑"/>
          <w:color w:val="auto"/>
          <w:sz w:val="24"/>
        </w:rPr>
        <w:t>年间每年企业绿色发展指标的按企业所在地统计（省级数字地图、柱形-折线混合图）、按企业所属国民经济行业大类统计（条形图）、T</w:t>
      </w:r>
      <w:r>
        <w:rPr>
          <w:rFonts w:ascii="微软雅黑" w:hAnsi="微软雅黑" w:eastAsia="微软雅黑"/>
          <w:color w:val="auto"/>
          <w:sz w:val="24"/>
        </w:rPr>
        <w:t>OP5</w:t>
      </w:r>
      <w:r>
        <w:rPr>
          <w:rFonts w:hint="eastAsia" w:ascii="微软雅黑" w:hAnsi="微软雅黑" w:eastAsia="微软雅黑"/>
          <w:color w:val="auto"/>
          <w:sz w:val="24"/>
        </w:rPr>
        <w:t>行业大类（圆环图）、T</w:t>
      </w:r>
      <w:r>
        <w:rPr>
          <w:rFonts w:ascii="微软雅黑" w:hAnsi="微软雅黑" w:eastAsia="微软雅黑"/>
          <w:color w:val="auto"/>
          <w:sz w:val="24"/>
        </w:rPr>
        <w:t>OP5</w:t>
      </w:r>
      <w:r>
        <w:rPr>
          <w:rFonts w:hint="eastAsia" w:ascii="微软雅黑" w:hAnsi="微软雅黑" w:eastAsia="微软雅黑"/>
          <w:color w:val="auto"/>
          <w:sz w:val="24"/>
        </w:rPr>
        <w:t>地区（圆环图）。</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rPr>
        <w:t>时间序列可视化</w:t>
      </w:r>
    </w:p>
    <w:p>
      <w:pPr>
        <w:spacing w:line="480" w:lineRule="exact"/>
        <w:ind w:firstLine="420"/>
        <w:rPr>
          <w:rFonts w:hint="eastAsia" w:ascii="微软雅黑" w:hAnsi="微软雅黑" w:eastAsia="微软雅黑"/>
          <w:color w:val="auto"/>
          <w:sz w:val="24"/>
        </w:rPr>
      </w:pPr>
      <w:r>
        <w:rPr>
          <w:rFonts w:hint="eastAsia" w:ascii="微软雅黑" w:hAnsi="微软雅黑" w:eastAsia="微软雅黑"/>
          <w:color w:val="auto"/>
          <w:sz w:val="24"/>
        </w:rPr>
        <w:t>提供1</w:t>
      </w:r>
      <w:r>
        <w:rPr>
          <w:rFonts w:ascii="微软雅黑" w:hAnsi="微软雅黑" w:eastAsia="微软雅黑"/>
          <w:color w:val="auto"/>
          <w:sz w:val="24"/>
        </w:rPr>
        <w:t>998-2014</w:t>
      </w:r>
      <w:r>
        <w:rPr>
          <w:rFonts w:hint="eastAsia" w:ascii="微软雅黑" w:hAnsi="微软雅黑" w:eastAsia="微软雅黑"/>
          <w:color w:val="auto"/>
          <w:sz w:val="24"/>
        </w:rPr>
        <w:t>年任意起止年份间企业绿色发展指标的按企业所在地统计（线图、面积图）、按企业所在地企业数量</w:t>
      </w:r>
      <w:r>
        <w:rPr>
          <w:rFonts w:ascii="微软雅黑" w:hAnsi="微软雅黑" w:eastAsia="微软雅黑"/>
          <w:color w:val="auto"/>
          <w:sz w:val="24"/>
        </w:rPr>
        <w:t>TOP5</w:t>
      </w:r>
      <w:r>
        <w:rPr>
          <w:rFonts w:hint="eastAsia" w:ascii="微软雅黑" w:hAnsi="微软雅黑" w:eastAsia="微软雅黑"/>
          <w:color w:val="auto"/>
          <w:sz w:val="24"/>
        </w:rPr>
        <w:t>（堆积柱形图）、按行业大类统计（堆积柱形图）、按行业大类企业数量</w:t>
      </w:r>
      <w:r>
        <w:rPr>
          <w:rFonts w:ascii="微软雅黑" w:hAnsi="微软雅黑" w:eastAsia="微软雅黑"/>
          <w:color w:val="auto"/>
          <w:sz w:val="24"/>
        </w:rPr>
        <w:t>TOP5</w:t>
      </w:r>
      <w:r>
        <w:rPr>
          <w:rFonts w:hint="eastAsia" w:ascii="微软雅黑" w:hAnsi="微软雅黑" w:eastAsia="微软雅黑"/>
          <w:color w:val="auto"/>
          <w:sz w:val="24"/>
        </w:rPr>
        <w:t>（堆积柱形图）。</w:t>
      </w:r>
    </w:p>
    <w:p>
      <w:pPr>
        <w:spacing w:line="480" w:lineRule="exact"/>
        <w:ind w:firstLine="420"/>
        <w:rPr>
          <w:rFonts w:hint="eastAsia" w:ascii="微软雅黑" w:hAnsi="微软雅黑" w:eastAsia="微软雅黑"/>
          <w:color w:val="auto"/>
          <w:sz w:val="24"/>
        </w:rPr>
      </w:pPr>
    </w:p>
    <w:p>
      <w:pPr>
        <w:spacing w:line="480" w:lineRule="exact"/>
        <w:rPr>
          <w:rFonts w:ascii="微软雅黑" w:hAnsi="微软雅黑" w:eastAsia="微软雅黑"/>
          <w:b/>
          <w:bCs/>
          <w:color w:val="auto"/>
          <w:sz w:val="28"/>
          <w:szCs w:val="28"/>
        </w:rPr>
      </w:pPr>
      <w:r>
        <w:rPr>
          <w:rFonts w:hint="eastAsia" w:ascii="微软雅黑" w:hAnsi="微软雅黑" w:eastAsia="微软雅黑"/>
          <w:b/>
          <w:bCs/>
          <w:color w:val="auto"/>
          <w:sz w:val="28"/>
          <w:szCs w:val="28"/>
        </w:rPr>
        <w:t>模块</w:t>
      </w:r>
      <w:r>
        <w:rPr>
          <w:rFonts w:hint="eastAsia" w:ascii="微软雅黑" w:hAnsi="微软雅黑" w:eastAsia="微软雅黑"/>
          <w:b/>
          <w:bCs/>
          <w:color w:val="auto"/>
          <w:sz w:val="28"/>
          <w:szCs w:val="28"/>
          <w:lang w:val="en-US" w:eastAsia="zh-CN"/>
        </w:rPr>
        <w:t>五</w:t>
      </w:r>
      <w:r>
        <w:rPr>
          <w:rFonts w:hint="eastAsia" w:ascii="微软雅黑" w:hAnsi="微软雅黑" w:eastAsia="微软雅黑"/>
          <w:b/>
          <w:bCs/>
          <w:color w:val="auto"/>
          <w:sz w:val="28"/>
          <w:szCs w:val="28"/>
        </w:rPr>
        <w:t>：企业</w:t>
      </w:r>
      <w:r>
        <w:rPr>
          <w:rFonts w:hint="eastAsia" w:ascii="微软雅黑" w:hAnsi="微软雅黑" w:eastAsia="微软雅黑"/>
          <w:b/>
          <w:bCs/>
          <w:color w:val="auto"/>
          <w:sz w:val="28"/>
          <w:szCs w:val="28"/>
          <w:lang w:val="en-US" w:eastAsia="zh-CN"/>
        </w:rPr>
        <w:t>贡献</w:t>
      </w:r>
      <w:r>
        <w:rPr>
          <w:rFonts w:hint="eastAsia" w:ascii="微软雅黑" w:hAnsi="微软雅黑" w:eastAsia="微软雅黑"/>
          <w:b/>
          <w:bCs/>
          <w:color w:val="auto"/>
          <w:sz w:val="28"/>
          <w:szCs w:val="28"/>
        </w:rPr>
        <w:t>数据库</w:t>
      </w:r>
    </w:p>
    <w:p>
      <w:pPr>
        <w:spacing w:line="480" w:lineRule="exact"/>
        <w:ind w:firstLine="420"/>
        <w:rPr>
          <w:rFonts w:hint="default" w:ascii="微软雅黑" w:hAnsi="微软雅黑" w:eastAsia="微软雅黑"/>
          <w:color w:val="auto"/>
          <w:sz w:val="24"/>
          <w:szCs w:val="24"/>
          <w:lang w:val="en-US" w:eastAsia="zh-CN"/>
        </w:rPr>
      </w:pPr>
      <w:r>
        <w:rPr>
          <w:rFonts w:hint="eastAsia" w:ascii="微软雅黑" w:hAnsi="微软雅黑" w:eastAsia="微软雅黑"/>
          <w:color w:val="auto"/>
          <w:sz w:val="24"/>
          <w:szCs w:val="24"/>
        </w:rPr>
        <w:t>中国企业</w:t>
      </w:r>
      <w:r>
        <w:rPr>
          <w:rFonts w:hint="eastAsia" w:ascii="微软雅黑" w:hAnsi="微软雅黑" w:eastAsia="微软雅黑"/>
          <w:color w:val="auto"/>
          <w:sz w:val="24"/>
          <w:szCs w:val="24"/>
          <w:lang w:val="en-US" w:eastAsia="zh-CN"/>
        </w:rPr>
        <w:t>贡献</w:t>
      </w:r>
      <w:r>
        <w:rPr>
          <w:rFonts w:hint="eastAsia" w:ascii="微软雅黑" w:hAnsi="微软雅黑" w:eastAsia="微软雅黑"/>
          <w:color w:val="auto"/>
          <w:sz w:val="24"/>
          <w:szCs w:val="24"/>
        </w:rPr>
        <w:t>数据库提供了</w:t>
      </w:r>
      <w:r>
        <w:rPr>
          <w:rFonts w:hint="eastAsia" w:ascii="微软雅黑" w:hAnsi="微软雅黑" w:eastAsia="微软雅黑"/>
          <w:color w:val="auto"/>
          <w:sz w:val="24"/>
          <w:szCs w:val="24"/>
          <w:lang w:val="en-US" w:eastAsia="zh-CN"/>
        </w:rPr>
        <w:t>200</w:t>
      </w:r>
      <w:r>
        <w:rPr>
          <w:rFonts w:ascii="微软雅黑" w:hAnsi="微软雅黑" w:eastAsia="微软雅黑"/>
          <w:color w:val="auto"/>
          <w:sz w:val="24"/>
          <w:szCs w:val="24"/>
        </w:rPr>
        <w:t>8</w:t>
      </w:r>
      <w:r>
        <w:rPr>
          <w:rFonts w:hint="eastAsia" w:ascii="微软雅黑" w:hAnsi="微软雅黑" w:eastAsia="微软雅黑"/>
          <w:color w:val="auto"/>
          <w:sz w:val="24"/>
          <w:szCs w:val="24"/>
        </w:rPr>
        <w:t>-</w:t>
      </w:r>
      <w:r>
        <w:rPr>
          <w:rFonts w:ascii="微软雅黑" w:hAnsi="微软雅黑" w:eastAsia="微软雅黑"/>
          <w:color w:val="auto"/>
          <w:sz w:val="24"/>
          <w:szCs w:val="24"/>
        </w:rPr>
        <w:t>201</w:t>
      </w:r>
      <w:r>
        <w:rPr>
          <w:rFonts w:hint="eastAsia" w:ascii="微软雅黑" w:hAnsi="微软雅黑" w:eastAsia="微软雅黑"/>
          <w:color w:val="auto"/>
          <w:sz w:val="24"/>
          <w:szCs w:val="24"/>
          <w:lang w:val="en-US" w:eastAsia="zh-CN"/>
        </w:rPr>
        <w:t>6</w:t>
      </w:r>
      <w:r>
        <w:rPr>
          <w:rFonts w:hint="eastAsia" w:ascii="微软雅黑" w:hAnsi="微软雅黑" w:eastAsia="微软雅黑"/>
          <w:color w:val="auto"/>
          <w:sz w:val="24"/>
          <w:szCs w:val="24"/>
        </w:rPr>
        <w:t>年</w:t>
      </w:r>
      <w:r>
        <w:rPr>
          <w:rFonts w:hint="eastAsia" w:ascii="微软雅黑" w:hAnsi="微软雅黑" w:eastAsia="微软雅黑"/>
          <w:color w:val="auto"/>
          <w:sz w:val="24"/>
          <w:szCs w:val="24"/>
          <w:lang w:val="en-US" w:eastAsia="zh-CN"/>
        </w:rPr>
        <w:t>国家公共财政主要收入调查数据</w:t>
      </w:r>
      <w:r>
        <w:rPr>
          <w:rFonts w:hint="eastAsia" w:ascii="微软雅黑" w:hAnsi="微软雅黑" w:eastAsia="微软雅黑"/>
          <w:color w:val="auto"/>
          <w:sz w:val="24"/>
          <w:szCs w:val="24"/>
          <w:lang w:eastAsia="zh-CN"/>
        </w:rPr>
        <w:t>。</w:t>
      </w:r>
      <w:r>
        <w:rPr>
          <w:rFonts w:hint="eastAsia" w:ascii="微软雅黑" w:hAnsi="微软雅黑" w:eastAsia="微软雅黑"/>
          <w:color w:val="auto"/>
          <w:sz w:val="24"/>
          <w:szCs w:val="24"/>
        </w:rPr>
        <w:t>每年的平均样本规模为70万家企业，涵盖了农业、工业、服务业等全部分类行业。该调查样本的</w:t>
      </w:r>
      <w:r>
        <w:rPr>
          <w:rFonts w:hint="eastAsia" w:ascii="微软雅黑" w:hAnsi="微软雅黑" w:eastAsia="微软雅黑"/>
          <w:color w:val="auto"/>
          <w:sz w:val="24"/>
          <w:szCs w:val="24"/>
          <w:lang w:val="en-US" w:eastAsia="zh-CN"/>
        </w:rPr>
        <w:t>国家公共财政主要收入</w:t>
      </w:r>
      <w:r>
        <w:rPr>
          <w:rFonts w:hint="eastAsia" w:ascii="微软雅黑" w:hAnsi="微软雅黑" w:eastAsia="微软雅黑"/>
          <w:color w:val="auto"/>
          <w:sz w:val="24"/>
          <w:szCs w:val="24"/>
        </w:rPr>
        <w:t>总额占全国总额的65%，增加值占全国的66%，因此数据样本具有良好的代表性。</w:t>
      </w:r>
      <w:r>
        <w:rPr>
          <w:rFonts w:hint="eastAsia" w:ascii="微软雅黑" w:hAnsi="微软雅黑" w:eastAsia="微软雅黑"/>
          <w:color w:val="auto"/>
          <w:sz w:val="24"/>
          <w:szCs w:val="24"/>
          <w:lang w:val="en-US" w:eastAsia="zh-CN"/>
        </w:rPr>
        <w:t>企业贡献数据库指标量庞大共包含600+指标，统计信息详尽，分类科学可追溯，对于研究中国国家公共财政主要收入情况的用户有着显著性的帮助</w:t>
      </w:r>
      <w:r>
        <w:rPr>
          <w:rFonts w:hint="eastAsia" w:ascii="微软雅黑" w:hAnsi="微软雅黑" w:eastAsia="微软雅黑"/>
          <w:color w:val="auto"/>
          <w:sz w:val="24"/>
          <w:szCs w:val="24"/>
        </w:rPr>
        <w:t>。</w:t>
      </w:r>
      <w:r>
        <w:rPr>
          <w:rFonts w:hint="eastAsia" w:ascii="微软雅黑" w:hAnsi="微软雅黑" w:eastAsia="微软雅黑"/>
          <w:color w:val="auto"/>
          <w:sz w:val="24"/>
          <w:szCs w:val="24"/>
          <w:lang w:val="en-US" w:eastAsia="zh-CN"/>
        </w:rPr>
        <w:t>同时企业贡献数据库采用了新的数据展现形式，提升了用户的查询及分析效率。</w:t>
      </w:r>
    </w:p>
    <w:p>
      <w:pPr>
        <w:spacing w:line="480" w:lineRule="exact"/>
        <w:rPr>
          <w:rFonts w:ascii="微软雅黑" w:hAnsi="微软雅黑" w:eastAsia="微软雅黑"/>
          <w:color w:val="auto"/>
          <w:sz w:val="24"/>
          <w:szCs w:val="24"/>
        </w:rPr>
      </w:pPr>
      <w:r>
        <w:rPr>
          <w:rFonts w:ascii="微软雅黑" w:hAnsi="微软雅黑" w:eastAsia="微软雅黑"/>
          <w:color w:val="auto"/>
          <w:sz w:val="24"/>
          <w:szCs w:val="24"/>
        </w:rPr>
        <w:tab/>
      </w:r>
      <w:r>
        <w:rPr>
          <w:rFonts w:hint="eastAsia" w:ascii="微软雅黑" w:hAnsi="微软雅黑" w:eastAsia="微软雅黑"/>
          <w:color w:val="auto"/>
          <w:sz w:val="24"/>
          <w:szCs w:val="24"/>
        </w:rPr>
        <w:t>中国企业</w:t>
      </w:r>
      <w:r>
        <w:rPr>
          <w:rFonts w:hint="eastAsia" w:ascii="微软雅黑" w:hAnsi="微软雅黑" w:eastAsia="微软雅黑"/>
          <w:color w:val="auto"/>
          <w:sz w:val="24"/>
          <w:szCs w:val="24"/>
          <w:lang w:val="en-US" w:eastAsia="zh-CN"/>
        </w:rPr>
        <w:t>贡献</w:t>
      </w:r>
      <w:r>
        <w:rPr>
          <w:rFonts w:hint="eastAsia" w:ascii="微软雅黑" w:hAnsi="微软雅黑" w:eastAsia="微软雅黑"/>
          <w:color w:val="auto"/>
          <w:sz w:val="24"/>
          <w:szCs w:val="24"/>
        </w:rPr>
        <w:t>数据库包括单年数据查询、时间序列查询、单年可视化、时间序列可视化等四部分。</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rPr>
        <w:t>单年查询</w:t>
      </w:r>
    </w:p>
    <w:p>
      <w:pPr>
        <w:spacing w:line="480" w:lineRule="exact"/>
        <w:ind w:firstLine="420"/>
        <w:rPr>
          <w:rFonts w:ascii="微软雅黑" w:hAnsi="微软雅黑" w:eastAsia="微软雅黑"/>
          <w:color w:val="auto"/>
          <w:sz w:val="24"/>
        </w:rPr>
      </w:pPr>
      <w:r>
        <w:rPr>
          <w:rFonts w:hint="eastAsia" w:ascii="微软雅黑" w:hAnsi="微软雅黑" w:eastAsia="微软雅黑"/>
          <w:color w:val="auto"/>
          <w:sz w:val="24"/>
        </w:rPr>
        <w:t>实现对</w:t>
      </w:r>
      <w:r>
        <w:rPr>
          <w:rFonts w:hint="eastAsia" w:ascii="微软雅黑" w:hAnsi="微软雅黑" w:eastAsia="微软雅黑"/>
          <w:color w:val="auto"/>
          <w:sz w:val="24"/>
          <w:lang w:val="en-US" w:eastAsia="zh-CN"/>
        </w:rPr>
        <w:t>2008</w:t>
      </w:r>
      <w:r>
        <w:rPr>
          <w:rFonts w:ascii="微软雅黑" w:hAnsi="微软雅黑" w:eastAsia="微软雅黑"/>
          <w:color w:val="auto"/>
          <w:sz w:val="24"/>
        </w:rPr>
        <w:t>-201</w:t>
      </w:r>
      <w:r>
        <w:rPr>
          <w:rFonts w:hint="eastAsia" w:ascii="微软雅黑" w:hAnsi="微软雅黑" w:eastAsia="微软雅黑"/>
          <w:color w:val="auto"/>
          <w:sz w:val="24"/>
          <w:lang w:val="en-US" w:eastAsia="zh-CN"/>
        </w:rPr>
        <w:t>6</w:t>
      </w:r>
      <w:r>
        <w:rPr>
          <w:rFonts w:hint="eastAsia" w:ascii="微软雅黑" w:hAnsi="微软雅黑" w:eastAsia="微软雅黑"/>
          <w:color w:val="auto"/>
          <w:sz w:val="24"/>
        </w:rPr>
        <w:t>年间某一年度的全部企业数据按一定筛选条件进行的查询，用户可便捷的下载到研究所需的数据内容。</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rPr>
        <w:t>时间序列查询</w:t>
      </w:r>
    </w:p>
    <w:p>
      <w:pPr>
        <w:spacing w:line="480" w:lineRule="exact"/>
        <w:ind w:firstLine="420"/>
        <w:rPr>
          <w:rFonts w:ascii="微软雅黑" w:hAnsi="微软雅黑" w:eastAsia="微软雅黑"/>
          <w:color w:val="auto"/>
          <w:sz w:val="24"/>
        </w:rPr>
      </w:pPr>
      <w:r>
        <w:rPr>
          <w:rFonts w:hint="eastAsia" w:ascii="微软雅黑" w:hAnsi="微软雅黑" w:eastAsia="微软雅黑"/>
          <w:color w:val="auto"/>
          <w:sz w:val="24"/>
        </w:rPr>
        <w:t>采用“序贯匹配法”，对不同年份的企业进行匹配。用户可轻松获得</w:t>
      </w:r>
      <w:r>
        <w:rPr>
          <w:rFonts w:hint="eastAsia" w:ascii="微软雅黑" w:hAnsi="微软雅黑" w:eastAsia="微软雅黑"/>
          <w:color w:val="auto"/>
          <w:sz w:val="24"/>
          <w:lang w:val="en-US" w:eastAsia="zh-CN"/>
        </w:rPr>
        <w:t>2008</w:t>
      </w:r>
      <w:r>
        <w:rPr>
          <w:rFonts w:ascii="微软雅黑" w:hAnsi="微软雅黑" w:eastAsia="微软雅黑"/>
          <w:color w:val="auto"/>
          <w:sz w:val="24"/>
        </w:rPr>
        <w:t>-201</w:t>
      </w:r>
      <w:r>
        <w:rPr>
          <w:rFonts w:hint="eastAsia" w:ascii="微软雅黑" w:hAnsi="微软雅黑" w:eastAsia="微软雅黑"/>
          <w:color w:val="auto"/>
          <w:sz w:val="24"/>
          <w:lang w:val="en-US" w:eastAsia="zh-CN"/>
        </w:rPr>
        <w:t>6</w:t>
      </w:r>
      <w:r>
        <w:rPr>
          <w:rFonts w:hint="eastAsia" w:ascii="微软雅黑" w:hAnsi="微软雅黑" w:eastAsia="微软雅黑"/>
          <w:color w:val="auto"/>
          <w:sz w:val="24"/>
        </w:rPr>
        <w:t>年任意起止年份间企业匹配后的面板数据。</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rPr>
        <w:t>单年可视化</w:t>
      </w:r>
    </w:p>
    <w:p>
      <w:pPr>
        <w:spacing w:line="480" w:lineRule="exact"/>
        <w:ind w:firstLine="420"/>
        <w:rPr>
          <w:rFonts w:ascii="微软雅黑" w:hAnsi="微软雅黑" w:eastAsia="微软雅黑"/>
          <w:color w:val="auto"/>
          <w:sz w:val="24"/>
        </w:rPr>
      </w:pPr>
      <w:r>
        <w:rPr>
          <w:rFonts w:hint="eastAsia" w:ascii="微软雅黑" w:hAnsi="微软雅黑" w:eastAsia="微软雅黑"/>
          <w:color w:val="auto"/>
          <w:sz w:val="24"/>
        </w:rPr>
        <w:t>提供</w:t>
      </w:r>
      <w:r>
        <w:rPr>
          <w:rFonts w:hint="eastAsia" w:ascii="微软雅黑" w:hAnsi="微软雅黑" w:eastAsia="微软雅黑"/>
          <w:color w:val="auto"/>
          <w:sz w:val="24"/>
          <w:lang w:val="en-US" w:eastAsia="zh-CN"/>
        </w:rPr>
        <w:t>2008</w:t>
      </w:r>
      <w:r>
        <w:rPr>
          <w:rFonts w:ascii="微软雅黑" w:hAnsi="微软雅黑" w:eastAsia="微软雅黑"/>
          <w:color w:val="auto"/>
          <w:sz w:val="24"/>
        </w:rPr>
        <w:t>-201</w:t>
      </w:r>
      <w:r>
        <w:rPr>
          <w:rFonts w:hint="eastAsia" w:ascii="微软雅黑" w:hAnsi="微软雅黑" w:eastAsia="微软雅黑"/>
          <w:color w:val="auto"/>
          <w:sz w:val="24"/>
          <w:lang w:val="en-US" w:eastAsia="zh-CN"/>
        </w:rPr>
        <w:t>6</w:t>
      </w:r>
      <w:r>
        <w:rPr>
          <w:rFonts w:hint="eastAsia" w:ascii="微软雅黑" w:hAnsi="微软雅黑" w:eastAsia="微软雅黑"/>
          <w:color w:val="auto"/>
          <w:sz w:val="24"/>
        </w:rPr>
        <w:t>年间每年</w:t>
      </w:r>
      <w:r>
        <w:rPr>
          <w:rFonts w:hint="eastAsia" w:ascii="微软雅黑" w:hAnsi="微软雅黑" w:eastAsia="微软雅黑"/>
          <w:color w:val="auto"/>
          <w:sz w:val="24"/>
          <w:szCs w:val="24"/>
          <w:lang w:val="en-US" w:eastAsia="zh-CN"/>
        </w:rPr>
        <w:t>国家公共财政主要收入调查</w:t>
      </w:r>
      <w:r>
        <w:rPr>
          <w:rFonts w:hint="eastAsia" w:ascii="微软雅黑" w:hAnsi="微软雅黑" w:eastAsia="微软雅黑"/>
          <w:color w:val="auto"/>
          <w:sz w:val="24"/>
        </w:rPr>
        <w:t>指标的按企业所在地统计（数字地图、柱形-折线混合图）、按企业所属国民经济行业大类统计（条形图）、按企业登记注册类型统计（圆环图）</w:t>
      </w:r>
      <w:r>
        <w:rPr>
          <w:rFonts w:hint="eastAsia" w:ascii="微软雅黑" w:hAnsi="微软雅黑" w:eastAsia="微软雅黑"/>
          <w:color w:val="auto"/>
          <w:sz w:val="24"/>
          <w:lang w:val="en-US" w:eastAsia="zh-CN"/>
        </w:rPr>
        <w:t>等可视化图标</w:t>
      </w:r>
      <w:r>
        <w:rPr>
          <w:rFonts w:hint="eastAsia" w:ascii="微软雅黑" w:hAnsi="微软雅黑" w:eastAsia="微软雅黑"/>
          <w:color w:val="auto"/>
          <w:sz w:val="24"/>
        </w:rPr>
        <w:t>。</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rPr>
        <w:t>时间序列可视化</w:t>
      </w:r>
    </w:p>
    <w:p>
      <w:pPr>
        <w:spacing w:line="480" w:lineRule="exact"/>
        <w:ind w:firstLine="420"/>
        <w:rPr>
          <w:rFonts w:hint="eastAsia" w:ascii="微软雅黑" w:hAnsi="微软雅黑" w:eastAsia="微软雅黑"/>
          <w:color w:val="auto"/>
          <w:sz w:val="24"/>
        </w:rPr>
      </w:pPr>
      <w:r>
        <w:rPr>
          <w:rFonts w:hint="eastAsia" w:ascii="微软雅黑" w:hAnsi="微软雅黑" w:eastAsia="微软雅黑"/>
          <w:color w:val="auto"/>
          <w:sz w:val="24"/>
        </w:rPr>
        <w:t>提供</w:t>
      </w:r>
      <w:r>
        <w:rPr>
          <w:rFonts w:hint="eastAsia" w:ascii="微软雅黑" w:hAnsi="微软雅黑" w:eastAsia="微软雅黑"/>
          <w:color w:val="auto"/>
          <w:sz w:val="24"/>
          <w:lang w:val="en-US" w:eastAsia="zh-CN"/>
        </w:rPr>
        <w:t>2008</w:t>
      </w:r>
      <w:r>
        <w:rPr>
          <w:rFonts w:ascii="微软雅黑" w:hAnsi="微软雅黑" w:eastAsia="微软雅黑"/>
          <w:color w:val="auto"/>
          <w:sz w:val="24"/>
        </w:rPr>
        <w:t>-201</w:t>
      </w:r>
      <w:r>
        <w:rPr>
          <w:rFonts w:hint="eastAsia" w:ascii="微软雅黑" w:hAnsi="微软雅黑" w:eastAsia="微软雅黑"/>
          <w:color w:val="auto"/>
          <w:sz w:val="24"/>
          <w:lang w:val="en-US" w:eastAsia="zh-CN"/>
        </w:rPr>
        <w:t>6</w:t>
      </w:r>
      <w:r>
        <w:rPr>
          <w:rFonts w:hint="eastAsia" w:ascii="微软雅黑" w:hAnsi="微软雅黑" w:eastAsia="微软雅黑"/>
          <w:color w:val="auto"/>
          <w:sz w:val="24"/>
        </w:rPr>
        <w:t>年任意起止年份间</w:t>
      </w:r>
      <w:r>
        <w:rPr>
          <w:rFonts w:hint="eastAsia" w:ascii="微软雅黑" w:hAnsi="微软雅黑" w:eastAsia="微软雅黑"/>
          <w:color w:val="auto"/>
          <w:sz w:val="24"/>
          <w:szCs w:val="24"/>
          <w:lang w:val="en-US" w:eastAsia="zh-CN"/>
        </w:rPr>
        <w:t>国家公共财政主要收入调查</w:t>
      </w:r>
      <w:r>
        <w:rPr>
          <w:rFonts w:hint="eastAsia" w:ascii="微软雅黑" w:hAnsi="微软雅黑" w:eastAsia="微软雅黑"/>
          <w:color w:val="auto"/>
          <w:sz w:val="24"/>
        </w:rPr>
        <w:t>指标的按企业所在地统计（折线图、面积图）、按企业登记注册类型统计（折线图、面积图）</w:t>
      </w:r>
      <w:r>
        <w:rPr>
          <w:rFonts w:hint="eastAsia" w:ascii="微软雅黑" w:hAnsi="微软雅黑" w:eastAsia="微软雅黑"/>
          <w:color w:val="auto"/>
          <w:sz w:val="24"/>
          <w:lang w:val="en-US" w:eastAsia="zh-CN"/>
        </w:rPr>
        <w:t>等可视化指标</w:t>
      </w:r>
      <w:r>
        <w:rPr>
          <w:rFonts w:hint="eastAsia" w:ascii="微软雅黑" w:hAnsi="微软雅黑" w:eastAsia="微软雅黑"/>
          <w:color w:val="auto"/>
          <w:sz w:val="24"/>
        </w:rPr>
        <w:t>。</w:t>
      </w:r>
    </w:p>
    <w:p>
      <w:pPr>
        <w:spacing w:line="480" w:lineRule="exact"/>
        <w:ind w:firstLine="420"/>
        <w:rPr>
          <w:rFonts w:hint="eastAsia" w:ascii="微软雅黑" w:hAnsi="微软雅黑" w:eastAsia="微软雅黑"/>
          <w:color w:val="auto"/>
          <w:sz w:val="24"/>
        </w:rPr>
      </w:pPr>
    </w:p>
    <w:p>
      <w:pPr>
        <w:spacing w:line="480" w:lineRule="exact"/>
        <w:rPr>
          <w:rFonts w:hint="default" w:ascii="微软雅黑" w:hAnsi="微软雅黑" w:eastAsia="微软雅黑"/>
          <w:b/>
          <w:bCs/>
          <w:color w:val="auto"/>
          <w:sz w:val="28"/>
          <w:szCs w:val="28"/>
          <w:lang w:val="en-US" w:eastAsia="zh-CN"/>
        </w:rPr>
      </w:pPr>
      <w:r>
        <w:rPr>
          <w:rFonts w:hint="eastAsia" w:ascii="微软雅黑" w:hAnsi="微软雅黑" w:eastAsia="微软雅黑"/>
          <w:b/>
          <w:bCs/>
          <w:color w:val="auto"/>
          <w:sz w:val="28"/>
          <w:szCs w:val="28"/>
        </w:rPr>
        <w:t>模块</w:t>
      </w:r>
      <w:r>
        <w:rPr>
          <w:rFonts w:hint="eastAsia" w:ascii="微软雅黑" w:hAnsi="微软雅黑" w:eastAsia="微软雅黑"/>
          <w:b/>
          <w:bCs/>
          <w:color w:val="auto"/>
          <w:sz w:val="28"/>
          <w:szCs w:val="28"/>
          <w:lang w:val="en-US" w:eastAsia="zh-CN"/>
        </w:rPr>
        <w:t>六</w:t>
      </w:r>
      <w:r>
        <w:rPr>
          <w:rFonts w:hint="eastAsia" w:ascii="微软雅黑" w:hAnsi="微软雅黑" w:eastAsia="微软雅黑"/>
          <w:b/>
          <w:bCs/>
          <w:color w:val="auto"/>
          <w:sz w:val="28"/>
          <w:szCs w:val="28"/>
        </w:rPr>
        <w:t>：</w:t>
      </w:r>
      <w:r>
        <w:rPr>
          <w:rFonts w:hint="eastAsia" w:ascii="微软雅黑" w:hAnsi="微软雅黑" w:eastAsia="微软雅黑"/>
          <w:b/>
          <w:bCs/>
          <w:color w:val="auto"/>
          <w:sz w:val="28"/>
          <w:szCs w:val="28"/>
          <w:lang w:val="en-US" w:eastAsia="zh-CN"/>
        </w:rPr>
        <w:t>企业工商数据库</w:t>
      </w:r>
    </w:p>
    <w:p>
      <w:pPr>
        <w:spacing w:line="480" w:lineRule="exact"/>
        <w:ind w:firstLine="480" w:firstLineChars="200"/>
        <w:rPr>
          <w:rFonts w:ascii="微软雅黑" w:hAnsi="微软雅黑" w:eastAsia="微软雅黑"/>
          <w:color w:val="auto"/>
          <w:sz w:val="24"/>
          <w:szCs w:val="24"/>
        </w:rPr>
      </w:pPr>
      <w:r>
        <w:rPr>
          <w:rFonts w:ascii="微软雅黑" w:hAnsi="微软雅黑" w:eastAsia="微软雅黑"/>
          <w:color w:val="auto"/>
          <w:sz w:val="24"/>
          <w:szCs w:val="24"/>
        </w:rPr>
        <w:t>中国</w:t>
      </w:r>
      <w:r>
        <w:rPr>
          <w:rFonts w:hint="eastAsia" w:ascii="微软雅黑" w:hAnsi="微软雅黑" w:eastAsia="微软雅黑"/>
          <w:color w:val="auto"/>
          <w:sz w:val="24"/>
          <w:szCs w:val="24"/>
          <w:lang w:val="en-US" w:eastAsia="zh-CN"/>
        </w:rPr>
        <w:t>企业工商</w:t>
      </w:r>
      <w:r>
        <w:rPr>
          <w:rFonts w:ascii="微软雅黑" w:hAnsi="微软雅黑" w:eastAsia="微软雅黑"/>
          <w:color w:val="auto"/>
          <w:sz w:val="24"/>
          <w:szCs w:val="24"/>
        </w:rPr>
        <w:t>数据库共计</w:t>
      </w:r>
      <w:r>
        <w:rPr>
          <w:rFonts w:hint="eastAsia" w:ascii="微软雅黑" w:hAnsi="微软雅黑" w:eastAsia="微软雅黑"/>
          <w:color w:val="auto"/>
          <w:sz w:val="24"/>
          <w:szCs w:val="24"/>
          <w:lang w:val="en-US" w:eastAsia="zh-CN"/>
        </w:rPr>
        <w:t>收录</w:t>
      </w:r>
      <w:r>
        <w:rPr>
          <w:rFonts w:ascii="微软雅黑" w:hAnsi="微软雅黑" w:eastAsia="微软雅黑"/>
          <w:color w:val="auto"/>
          <w:sz w:val="24"/>
          <w:szCs w:val="24"/>
        </w:rPr>
        <w:t>了全国</w:t>
      </w:r>
      <w:r>
        <w:rPr>
          <w:rFonts w:hint="eastAsia" w:ascii="微软雅黑" w:hAnsi="微软雅黑" w:eastAsia="微软雅黑"/>
          <w:color w:val="auto"/>
          <w:sz w:val="24"/>
          <w:szCs w:val="24"/>
          <w:lang w:val="en-US" w:eastAsia="zh-CN"/>
        </w:rPr>
        <w:t>约</w:t>
      </w:r>
      <w:r>
        <w:rPr>
          <w:rFonts w:ascii="微软雅黑" w:hAnsi="微软雅黑" w:eastAsia="微软雅黑"/>
          <w:color w:val="auto"/>
          <w:sz w:val="24"/>
          <w:szCs w:val="24"/>
        </w:rPr>
        <w:t>8000万家企业、1.7亿个体</w:t>
      </w:r>
      <w:r>
        <w:rPr>
          <w:rFonts w:hint="eastAsia" w:ascii="微软雅黑" w:hAnsi="微软雅黑" w:eastAsia="微软雅黑"/>
          <w:color w:val="auto"/>
          <w:sz w:val="24"/>
          <w:szCs w:val="24"/>
          <w:lang w:val="en-US" w:eastAsia="zh-CN"/>
        </w:rPr>
        <w:t>工商户的企业主体信息、人员信息、变更信息、对外投资信息、借贷担保信息、企业风险信息及企业年报信息</w:t>
      </w:r>
      <w:r>
        <w:rPr>
          <w:rFonts w:ascii="微软雅黑" w:hAnsi="微软雅黑" w:eastAsia="微软雅黑"/>
          <w:color w:val="auto"/>
          <w:sz w:val="24"/>
          <w:szCs w:val="24"/>
        </w:rPr>
        <w:t>等</w:t>
      </w:r>
      <w:r>
        <w:rPr>
          <w:rFonts w:hint="eastAsia" w:ascii="微软雅黑" w:hAnsi="微软雅黑" w:eastAsia="微软雅黑"/>
          <w:color w:val="auto"/>
          <w:sz w:val="24"/>
          <w:szCs w:val="24"/>
          <w:lang w:val="en-US" w:eastAsia="zh-CN"/>
        </w:rPr>
        <w:t>工商</w:t>
      </w:r>
      <w:r>
        <w:rPr>
          <w:rFonts w:ascii="微软雅黑" w:hAnsi="微软雅黑" w:eastAsia="微软雅黑"/>
          <w:color w:val="auto"/>
          <w:sz w:val="24"/>
          <w:szCs w:val="24"/>
        </w:rPr>
        <w:t>信息</w:t>
      </w:r>
      <w:r>
        <w:rPr>
          <w:rFonts w:hint="eastAsia" w:ascii="微软雅黑" w:hAnsi="微软雅黑" w:eastAsia="微软雅黑"/>
          <w:color w:val="auto"/>
          <w:sz w:val="24"/>
          <w:szCs w:val="24"/>
          <w:lang w:eastAsia="zh-CN"/>
        </w:rPr>
        <w:t>，</w:t>
      </w:r>
      <w:r>
        <w:rPr>
          <w:rFonts w:hint="eastAsia" w:ascii="微软雅黑" w:hAnsi="微软雅黑" w:eastAsia="微软雅黑"/>
          <w:color w:val="auto"/>
          <w:sz w:val="24"/>
          <w:szCs w:val="24"/>
          <w:lang w:val="en-US" w:eastAsia="zh-CN"/>
        </w:rPr>
        <w:t>覆盖</w:t>
      </w:r>
      <w:r>
        <w:rPr>
          <w:rFonts w:ascii="微软雅黑" w:hAnsi="微软雅黑" w:eastAsia="微软雅黑"/>
          <w:color w:val="auto"/>
          <w:sz w:val="24"/>
          <w:szCs w:val="24"/>
        </w:rPr>
        <w:t>了</w:t>
      </w:r>
      <w:r>
        <w:rPr>
          <w:rFonts w:hint="eastAsia" w:ascii="微软雅黑" w:hAnsi="微软雅黑" w:eastAsia="微软雅黑"/>
          <w:color w:val="auto"/>
          <w:sz w:val="24"/>
          <w:szCs w:val="24"/>
          <w:lang w:val="en-US" w:eastAsia="zh-CN"/>
        </w:rPr>
        <w:t>20个行业门类、97</w:t>
      </w:r>
      <w:r>
        <w:rPr>
          <w:rFonts w:ascii="微软雅黑" w:hAnsi="微软雅黑" w:eastAsia="微软雅黑"/>
          <w:color w:val="auto"/>
          <w:sz w:val="24"/>
          <w:szCs w:val="24"/>
        </w:rPr>
        <w:t>个</w:t>
      </w:r>
      <w:r>
        <w:rPr>
          <w:rFonts w:hint="eastAsia" w:ascii="微软雅黑" w:hAnsi="微软雅黑" w:eastAsia="微软雅黑"/>
          <w:color w:val="auto"/>
          <w:sz w:val="24"/>
          <w:szCs w:val="24"/>
          <w:lang w:val="en-US" w:eastAsia="zh-CN"/>
        </w:rPr>
        <w:t>行业</w:t>
      </w:r>
      <w:r>
        <w:rPr>
          <w:rFonts w:ascii="微软雅黑" w:hAnsi="微软雅黑" w:eastAsia="微软雅黑"/>
          <w:color w:val="auto"/>
          <w:sz w:val="24"/>
          <w:szCs w:val="24"/>
        </w:rPr>
        <w:t>大</w:t>
      </w:r>
      <w:r>
        <w:rPr>
          <w:rFonts w:hint="eastAsia" w:ascii="微软雅黑" w:hAnsi="微软雅黑" w:eastAsia="微软雅黑"/>
          <w:color w:val="auto"/>
          <w:sz w:val="24"/>
          <w:szCs w:val="24"/>
          <w:lang w:val="en-US" w:eastAsia="zh-CN"/>
        </w:rPr>
        <w:t>类</w:t>
      </w:r>
      <w:r>
        <w:rPr>
          <w:rFonts w:ascii="微软雅黑" w:hAnsi="微软雅黑" w:eastAsia="微软雅黑"/>
          <w:color w:val="auto"/>
          <w:sz w:val="24"/>
          <w:szCs w:val="24"/>
        </w:rPr>
        <w:t>，31个</w:t>
      </w:r>
      <w:r>
        <w:rPr>
          <w:rFonts w:hint="eastAsia" w:ascii="微软雅黑" w:hAnsi="微软雅黑" w:eastAsia="微软雅黑"/>
          <w:color w:val="auto"/>
          <w:sz w:val="24"/>
          <w:szCs w:val="24"/>
          <w:lang w:val="en-US" w:eastAsia="zh-CN"/>
        </w:rPr>
        <w:t>省级行政区</w:t>
      </w:r>
      <w:r>
        <w:rPr>
          <w:rFonts w:ascii="微软雅黑" w:hAnsi="微软雅黑" w:eastAsia="微软雅黑"/>
          <w:color w:val="auto"/>
          <w:sz w:val="24"/>
          <w:szCs w:val="24"/>
        </w:rPr>
        <w:t>，是目前最全的企业</w:t>
      </w:r>
      <w:r>
        <w:rPr>
          <w:rFonts w:hint="eastAsia" w:ascii="微软雅黑" w:hAnsi="微软雅黑" w:eastAsia="微软雅黑"/>
          <w:color w:val="auto"/>
          <w:sz w:val="24"/>
          <w:szCs w:val="24"/>
          <w:lang w:val="en-US" w:eastAsia="zh-CN"/>
        </w:rPr>
        <w:t>工商</w:t>
      </w:r>
      <w:r>
        <w:rPr>
          <w:rFonts w:ascii="微软雅黑" w:hAnsi="微软雅黑" w:eastAsia="微软雅黑"/>
          <w:color w:val="auto"/>
          <w:sz w:val="24"/>
          <w:szCs w:val="24"/>
        </w:rPr>
        <w:t>数据库。</w:t>
      </w:r>
    </w:p>
    <w:p>
      <w:pPr>
        <w:spacing w:line="480" w:lineRule="exact"/>
        <w:rPr>
          <w:rFonts w:hint="eastAsia" w:ascii="微软雅黑" w:hAnsi="微软雅黑" w:eastAsia="微软雅黑"/>
          <w:color w:val="auto"/>
          <w:sz w:val="24"/>
          <w:szCs w:val="24"/>
        </w:rPr>
      </w:pPr>
      <w:r>
        <w:rPr>
          <w:rFonts w:ascii="微软雅黑" w:hAnsi="微软雅黑" w:eastAsia="微软雅黑"/>
          <w:color w:val="auto"/>
          <w:sz w:val="24"/>
          <w:szCs w:val="24"/>
        </w:rPr>
        <w:tab/>
      </w:r>
      <w:r>
        <w:rPr>
          <w:rFonts w:hint="eastAsia" w:ascii="微软雅黑" w:hAnsi="微软雅黑" w:eastAsia="微软雅黑"/>
          <w:color w:val="auto"/>
          <w:sz w:val="24"/>
          <w:szCs w:val="24"/>
        </w:rPr>
        <w:t>中国</w:t>
      </w:r>
      <w:r>
        <w:rPr>
          <w:rFonts w:hint="eastAsia" w:ascii="微软雅黑" w:hAnsi="微软雅黑" w:eastAsia="微软雅黑"/>
          <w:color w:val="auto"/>
          <w:sz w:val="24"/>
          <w:szCs w:val="24"/>
          <w:lang w:val="en-US" w:eastAsia="zh-CN"/>
        </w:rPr>
        <w:t>企业工商</w:t>
      </w:r>
      <w:r>
        <w:rPr>
          <w:rFonts w:hint="eastAsia" w:ascii="微软雅黑" w:hAnsi="微软雅黑" w:eastAsia="微软雅黑"/>
          <w:color w:val="auto"/>
          <w:sz w:val="24"/>
          <w:szCs w:val="24"/>
        </w:rPr>
        <w:t>数据库包括</w:t>
      </w:r>
      <w:r>
        <w:rPr>
          <w:rFonts w:hint="eastAsia" w:ascii="微软雅黑" w:hAnsi="微软雅黑" w:eastAsia="微软雅黑"/>
          <w:color w:val="auto"/>
          <w:sz w:val="24"/>
          <w:szCs w:val="24"/>
          <w:lang w:val="en-US" w:eastAsia="zh-CN"/>
        </w:rPr>
        <w:t>企业批量查询、单家企业查询两大功能板块</w:t>
      </w:r>
      <w:r>
        <w:rPr>
          <w:rFonts w:hint="eastAsia" w:ascii="微软雅黑" w:hAnsi="微软雅黑" w:eastAsia="微软雅黑"/>
          <w:color w:val="auto"/>
          <w:sz w:val="24"/>
          <w:szCs w:val="24"/>
        </w:rPr>
        <w:t>。</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lang w:val="en-US" w:eastAsia="zh-CN"/>
        </w:rPr>
        <w:t>企业批量查询</w:t>
      </w:r>
    </w:p>
    <w:p>
      <w:pPr>
        <w:spacing w:line="480" w:lineRule="exact"/>
        <w:ind w:firstLine="420"/>
        <w:rPr>
          <w:rFonts w:ascii="微软雅黑" w:hAnsi="微软雅黑" w:eastAsia="微软雅黑"/>
          <w:color w:val="auto"/>
          <w:sz w:val="24"/>
        </w:rPr>
      </w:pPr>
      <w:r>
        <w:rPr>
          <w:rFonts w:hint="eastAsia" w:ascii="微软雅黑" w:hAnsi="微软雅黑" w:eastAsia="微软雅黑"/>
          <w:color w:val="auto"/>
          <w:sz w:val="24"/>
          <w:lang w:val="en-US" w:eastAsia="zh-CN"/>
        </w:rPr>
        <w:t>系统内数据经过公司数据实验室联合数据库工程师对相关数据进行了专业的清洗和处理，用户可根据丰富的筛选条件，查询目标企业群体，一键后台异步下载大文件数据包，高效获取大批量工商数据数据</w:t>
      </w:r>
      <w:r>
        <w:rPr>
          <w:rFonts w:hint="eastAsia" w:ascii="微软雅黑" w:hAnsi="微软雅黑" w:eastAsia="微软雅黑"/>
          <w:color w:val="auto"/>
          <w:sz w:val="24"/>
        </w:rPr>
        <w:t>。</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lang w:val="en-US" w:eastAsia="zh-CN"/>
        </w:rPr>
        <w:t>单家企业查询</w:t>
      </w:r>
    </w:p>
    <w:p>
      <w:pPr>
        <w:spacing w:line="480" w:lineRule="exact"/>
        <w:ind w:firstLine="420" w:firstLineChars="0"/>
        <w:rPr>
          <w:rFonts w:hint="eastAsia" w:ascii="微软雅黑" w:hAnsi="微软雅黑" w:eastAsia="微软雅黑"/>
          <w:color w:val="auto"/>
          <w:sz w:val="24"/>
        </w:rPr>
      </w:pPr>
      <w:r>
        <w:rPr>
          <w:rFonts w:hint="eastAsia" w:ascii="微软雅黑" w:hAnsi="微软雅黑" w:eastAsia="微软雅黑"/>
          <w:color w:val="auto"/>
          <w:sz w:val="24"/>
          <w:lang w:val="en-US" w:eastAsia="zh-CN"/>
        </w:rPr>
        <w:t>支持系统内用户精准查询单家企业，预览企业信息，一键下载指定企业完整数据包。</w:t>
      </w:r>
    </w:p>
    <w:p>
      <w:pPr>
        <w:spacing w:line="480" w:lineRule="exact"/>
        <w:rPr>
          <w:rFonts w:ascii="微软雅黑" w:hAnsi="微软雅黑" w:eastAsia="微软雅黑"/>
          <w:color w:val="auto"/>
          <w:sz w:val="24"/>
        </w:rPr>
      </w:pPr>
    </w:p>
    <w:p>
      <w:pPr>
        <w:spacing w:line="480" w:lineRule="exact"/>
        <w:rPr>
          <w:rFonts w:ascii="微软雅黑" w:hAnsi="微软雅黑" w:eastAsia="微软雅黑"/>
          <w:b/>
          <w:bCs/>
          <w:color w:val="auto"/>
          <w:sz w:val="28"/>
          <w:szCs w:val="28"/>
        </w:rPr>
      </w:pPr>
      <w:r>
        <w:rPr>
          <w:rFonts w:hint="eastAsia" w:ascii="微软雅黑" w:hAnsi="微软雅黑" w:eastAsia="微软雅黑"/>
          <w:b/>
          <w:bCs/>
          <w:color w:val="auto"/>
          <w:sz w:val="28"/>
          <w:szCs w:val="28"/>
        </w:rPr>
        <w:t>模块</w:t>
      </w:r>
      <w:r>
        <w:rPr>
          <w:rFonts w:hint="eastAsia" w:ascii="微软雅黑" w:hAnsi="微软雅黑" w:eastAsia="微软雅黑"/>
          <w:b/>
          <w:bCs/>
          <w:color w:val="auto"/>
          <w:sz w:val="28"/>
          <w:szCs w:val="28"/>
          <w:lang w:val="en-US" w:eastAsia="zh-CN"/>
        </w:rPr>
        <w:t>七</w:t>
      </w:r>
      <w:r>
        <w:rPr>
          <w:rFonts w:hint="eastAsia" w:ascii="微软雅黑" w:hAnsi="微软雅黑" w:eastAsia="微软雅黑"/>
          <w:b/>
          <w:bCs/>
          <w:color w:val="auto"/>
          <w:sz w:val="28"/>
          <w:szCs w:val="28"/>
        </w:rPr>
        <w:t>：跨库匹配</w:t>
      </w:r>
    </w:p>
    <w:p>
      <w:pPr>
        <w:spacing w:line="480" w:lineRule="exact"/>
        <w:ind w:firstLine="420"/>
        <w:rPr>
          <w:rFonts w:ascii="微软雅黑" w:hAnsi="微软雅黑" w:eastAsia="微软雅黑"/>
          <w:color w:val="auto"/>
          <w:sz w:val="24"/>
          <w:szCs w:val="24"/>
        </w:rPr>
      </w:pPr>
      <w:r>
        <w:rPr>
          <w:rFonts w:hint="eastAsia" w:ascii="微软雅黑" w:hAnsi="微软雅黑" w:eastAsia="微软雅黑"/>
          <w:color w:val="auto"/>
          <w:sz w:val="24"/>
          <w:szCs w:val="24"/>
        </w:rPr>
        <w:t>跨库匹配分为单年匹配和时间序列匹配，用户可选定工业企业数据库、海关企业数据库、创新企业数据库</w:t>
      </w:r>
      <w:r>
        <w:rPr>
          <w:rFonts w:hint="eastAsia" w:ascii="微软雅黑" w:hAnsi="微软雅黑" w:eastAsia="微软雅黑"/>
          <w:color w:val="auto"/>
          <w:sz w:val="24"/>
          <w:szCs w:val="24"/>
          <w:lang w:eastAsia="zh-CN"/>
        </w:rPr>
        <w:t>、</w:t>
      </w:r>
      <w:r>
        <w:rPr>
          <w:rFonts w:hint="eastAsia" w:ascii="微软雅黑" w:hAnsi="微软雅黑" w:eastAsia="微软雅黑"/>
          <w:color w:val="auto"/>
          <w:sz w:val="24"/>
          <w:szCs w:val="24"/>
          <w:lang w:val="en-US" w:eastAsia="zh-CN"/>
        </w:rPr>
        <w:t>绿色发展数据库</w:t>
      </w:r>
      <w:r>
        <w:rPr>
          <w:rFonts w:hint="eastAsia" w:ascii="微软雅黑" w:hAnsi="微软雅黑" w:eastAsia="微软雅黑"/>
          <w:color w:val="auto"/>
          <w:sz w:val="24"/>
          <w:szCs w:val="24"/>
        </w:rPr>
        <w:t>间任意多个专题数据库的匹配，轻松获得截面和面板数据，方便用户进行跨学科、跨领域研究。</w:t>
      </w:r>
    </w:p>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rPr>
        <w:t>单年匹配</w:t>
      </w:r>
    </w:p>
    <w:p>
      <w:pPr>
        <w:spacing w:line="480" w:lineRule="exact"/>
        <w:ind w:firstLine="420"/>
        <w:rPr>
          <w:rFonts w:ascii="微软雅黑" w:hAnsi="微软雅黑" w:eastAsia="微软雅黑"/>
          <w:color w:val="auto"/>
          <w:sz w:val="24"/>
        </w:rPr>
      </w:pPr>
      <w:bookmarkStart w:id="1" w:name="_Hlk18922286"/>
      <w:r>
        <w:rPr>
          <w:rFonts w:hint="eastAsia" w:ascii="微软雅黑" w:hAnsi="微软雅黑" w:eastAsia="微软雅黑"/>
          <w:color w:val="auto"/>
          <w:sz w:val="24"/>
        </w:rPr>
        <w:t>实现</w:t>
      </w:r>
      <w:r>
        <w:rPr>
          <w:rFonts w:hint="eastAsia" w:ascii="微软雅黑" w:hAnsi="微软雅黑" w:eastAsia="微软雅黑"/>
          <w:color w:val="auto"/>
          <w:sz w:val="24"/>
          <w:lang w:val="en-US" w:eastAsia="zh-CN"/>
        </w:rPr>
        <w:t>四</w:t>
      </w:r>
      <w:r>
        <w:rPr>
          <w:rFonts w:hint="eastAsia" w:ascii="微软雅黑" w:hAnsi="微软雅黑" w:eastAsia="微软雅黑"/>
          <w:color w:val="auto"/>
          <w:sz w:val="24"/>
        </w:rPr>
        <w:t>个专题数据库间企业某一年度按一定筛选条件进行的查询，用户可便捷的同时下载企业某年的多专题截面数据。</w:t>
      </w:r>
    </w:p>
    <w:bookmarkEnd w:id="1"/>
    <w:p>
      <w:pPr>
        <w:pStyle w:val="16"/>
        <w:numPr>
          <w:ilvl w:val="0"/>
          <w:numId w:val="1"/>
        </w:numPr>
        <w:spacing w:line="480" w:lineRule="exact"/>
        <w:ind w:firstLineChars="0"/>
        <w:rPr>
          <w:rFonts w:ascii="微软雅黑" w:hAnsi="微软雅黑" w:eastAsia="微软雅黑"/>
          <w:b/>
          <w:bCs/>
          <w:color w:val="auto"/>
          <w:sz w:val="24"/>
          <w:szCs w:val="24"/>
        </w:rPr>
      </w:pPr>
      <w:r>
        <w:rPr>
          <w:rFonts w:hint="eastAsia" w:ascii="微软雅黑" w:hAnsi="微软雅黑" w:eastAsia="微软雅黑"/>
          <w:b/>
          <w:bCs/>
          <w:color w:val="auto"/>
          <w:sz w:val="24"/>
          <w:szCs w:val="24"/>
        </w:rPr>
        <w:t>时间序列匹配</w:t>
      </w:r>
    </w:p>
    <w:p>
      <w:pPr>
        <w:spacing w:line="480" w:lineRule="exact"/>
        <w:ind w:firstLine="420"/>
        <w:rPr>
          <w:rFonts w:ascii="微软雅黑" w:hAnsi="微软雅黑" w:eastAsia="微软雅黑"/>
          <w:color w:val="auto"/>
          <w:sz w:val="24"/>
        </w:rPr>
      </w:pPr>
      <w:r>
        <w:rPr>
          <w:rFonts w:hint="eastAsia" w:ascii="微软雅黑" w:hAnsi="微软雅黑" w:eastAsia="微软雅黑"/>
          <w:color w:val="auto"/>
          <w:sz w:val="24"/>
        </w:rPr>
        <w:t>采用专业化清洗与匹配方式，对不同专题数据库中的企业进行跨库匹配。用户可轻松获得任意起止年份间企业匹配后的面板数据。</w:t>
      </w:r>
    </w:p>
    <w:p>
      <w:pPr>
        <w:spacing w:line="480" w:lineRule="exact"/>
        <w:ind w:firstLine="420"/>
        <w:rPr>
          <w:rFonts w:ascii="微软雅黑" w:hAnsi="微软雅黑" w:eastAsia="微软雅黑"/>
          <w:color w:val="auto"/>
          <w:sz w:val="24"/>
        </w:rPr>
      </w:pPr>
    </w:p>
    <w:p>
      <w:pPr>
        <w:spacing w:line="480" w:lineRule="exact"/>
        <w:rPr>
          <w:rFonts w:ascii="微软雅黑" w:hAnsi="微软雅黑" w:eastAsia="微软雅黑"/>
          <w:color w:val="auto"/>
          <w:sz w:val="24"/>
        </w:rPr>
      </w:pPr>
    </w:p>
    <w:p>
      <w:pPr>
        <w:spacing w:line="480" w:lineRule="exact"/>
        <w:rPr>
          <w:rFonts w:ascii="微软雅黑" w:hAnsi="微软雅黑" w:eastAsia="微软雅黑"/>
          <w:color w:val="auto"/>
        </w:rPr>
      </w:pPr>
      <w:r>
        <w:rPr>
          <w:rFonts w:ascii="微软雅黑" w:hAnsi="微软雅黑" w:eastAsia="微软雅黑"/>
          <w:b/>
          <w:bCs/>
          <w:color w:val="auto"/>
          <w:sz w:val="24"/>
          <w:szCs w:val="24"/>
          <w:shd w:val="clear" w:color="auto" w:fill="4086A4" w:themeFill="background2" w:themeFillShade="80"/>
        </w:rPr>
        <mc:AlternateContent>
          <mc:Choice Requires="wps">
            <w:drawing>
              <wp:anchor distT="45720" distB="45720" distL="114300" distR="114300" simplePos="0" relativeHeight="251662336" behindDoc="0" locked="0" layoutInCell="1" allowOverlap="1">
                <wp:simplePos x="0" y="0"/>
                <wp:positionH relativeFrom="column">
                  <wp:posOffset>-47625</wp:posOffset>
                </wp:positionH>
                <wp:positionV relativeFrom="paragraph">
                  <wp:posOffset>133350</wp:posOffset>
                </wp:positionV>
                <wp:extent cx="1247775" cy="523875"/>
                <wp:effectExtent l="0" t="0" r="28575" b="28575"/>
                <wp:wrapSquare wrapText="bothSides"/>
                <wp:docPr id="18"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247775" cy="523875"/>
                        </a:xfrm>
                        <a:prstGeom prst="rect">
                          <a:avLst/>
                        </a:prstGeom>
                      </wps:spPr>
                      <wps:style>
                        <a:lnRef idx="3">
                          <a:schemeClr val="lt1"/>
                        </a:lnRef>
                        <a:fillRef idx="1">
                          <a:schemeClr val="accent1"/>
                        </a:fillRef>
                        <a:effectRef idx="1">
                          <a:schemeClr val="accent1"/>
                        </a:effectRef>
                        <a:fontRef idx="minor">
                          <a:schemeClr val="lt1"/>
                        </a:fontRef>
                      </wps:style>
                      <wps:txbx>
                        <w:txbxContent>
                          <w:p>
                            <w:pPr>
                              <w:jc w:val="center"/>
                              <w:rPr>
                                <w:rFonts w:ascii="微软雅黑" w:hAnsi="微软雅黑" w:eastAsia="微软雅黑"/>
                                <w:b/>
                                <w:bCs/>
                                <w:sz w:val="28"/>
                                <w:szCs w:val="28"/>
                              </w:rPr>
                            </w:pPr>
                            <w:r>
                              <w:rPr>
                                <w:rFonts w:hint="eastAsia" w:ascii="微软雅黑" w:hAnsi="微软雅黑" w:eastAsia="微软雅黑"/>
                                <w:b/>
                                <w:bCs/>
                                <w:sz w:val="28"/>
                                <w:szCs w:val="28"/>
                              </w:rPr>
                              <w:t>系统特色</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3.75pt;margin-top:10.5pt;height:41.25pt;width:98.25pt;mso-wrap-distance-bottom:3.6pt;mso-wrap-distance-left:9pt;mso-wrap-distance-right:9pt;mso-wrap-distance-top:3.6pt;z-index:251662336;mso-width-relative:page;mso-height-relative:page;" fillcolor="#116EA1 [3204]" filled="t" stroked="t" coordsize="21600,21600" o:gfxdata="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KnrYC7YAAAACQEAAA8AAAAAAAAAAQAgAAAAIgAAAGRycy9kb3ducmV2LnhtbFBLAQIUABQAAAAI&#10;AIdO4kAr+VmWXwIAALcEAAAOAAAAAAAAAAEAIAAAACcBAABkcnMvZTJvRG9jLnhtbFBLBQYAAAAA&#10;BgAGAFkBAAD4BQAAAAA=&#10;">
                <v:fill on="t" focussize="0,0"/>
                <v:stroke weight="1.5pt" color="#FFFFFF [3201]" miterlimit="8" joinstyle="miter"/>
                <v:imagedata o:title=""/>
                <o:lock v:ext="edit" aspectratio="f"/>
                <v:textbox>
                  <w:txbxContent>
                    <w:p>
                      <w:pPr>
                        <w:jc w:val="center"/>
                        <w:rPr>
                          <w:rFonts w:ascii="微软雅黑" w:hAnsi="微软雅黑" w:eastAsia="微软雅黑"/>
                          <w:b/>
                          <w:bCs/>
                          <w:sz w:val="28"/>
                          <w:szCs w:val="28"/>
                        </w:rPr>
                      </w:pPr>
                      <w:r>
                        <w:rPr>
                          <w:rFonts w:hint="eastAsia" w:ascii="微软雅黑" w:hAnsi="微软雅黑" w:eastAsia="微软雅黑"/>
                          <w:b/>
                          <w:bCs/>
                          <w:sz w:val="28"/>
                          <w:szCs w:val="28"/>
                        </w:rPr>
                        <w:t>系统特色</w:t>
                      </w:r>
                    </w:p>
                  </w:txbxContent>
                </v:textbox>
                <w10:wrap type="square"/>
              </v:shape>
            </w:pict>
          </mc:Fallback>
        </mc:AlternateContent>
      </w:r>
    </w:p>
    <w:p>
      <w:pPr>
        <w:spacing w:line="480" w:lineRule="exact"/>
        <w:rPr>
          <w:rFonts w:ascii="微软雅黑" w:hAnsi="微软雅黑" w:eastAsia="微软雅黑"/>
          <w:color w:val="auto"/>
        </w:rPr>
      </w:pPr>
    </w:p>
    <w:p>
      <w:pPr>
        <w:spacing w:line="480" w:lineRule="exact"/>
        <w:rPr>
          <w:rFonts w:ascii="微软雅黑" w:hAnsi="微软雅黑" w:eastAsia="微软雅黑"/>
          <w:color w:val="auto"/>
        </w:rPr>
      </w:pPr>
    </w:p>
    <w:p>
      <w:pPr>
        <w:pStyle w:val="16"/>
        <w:numPr>
          <w:ilvl w:val="0"/>
          <w:numId w:val="2"/>
        </w:numPr>
        <w:spacing w:line="480" w:lineRule="exact"/>
        <w:ind w:firstLineChars="0"/>
        <w:rPr>
          <w:rFonts w:hint="eastAsia" w:ascii="微软雅黑" w:hAnsi="微软雅黑" w:eastAsia="微软雅黑"/>
          <w:b/>
          <w:bCs/>
          <w:color w:val="auto"/>
          <w:sz w:val="24"/>
          <w:szCs w:val="24"/>
        </w:rPr>
      </w:pPr>
      <w:r>
        <w:rPr>
          <w:rFonts w:hint="eastAsia" w:ascii="微软雅黑" w:hAnsi="微软雅黑" w:eastAsia="微软雅黑"/>
          <w:b/>
          <w:bCs/>
          <w:color w:val="auto"/>
          <w:sz w:val="24"/>
          <w:szCs w:val="24"/>
        </w:rPr>
        <w:t>数据资源丰富</w:t>
      </w:r>
    </w:p>
    <w:p>
      <w:pPr>
        <w:pStyle w:val="16"/>
        <w:numPr>
          <w:ilvl w:val="0"/>
          <w:numId w:val="0"/>
        </w:numPr>
        <w:spacing w:line="480" w:lineRule="exact"/>
        <w:ind w:leftChars="0"/>
        <w:rPr>
          <w:rFonts w:hint="eastAsia" w:ascii="微软雅黑" w:hAnsi="微软雅黑" w:eastAsia="微软雅黑"/>
          <w:color w:val="auto"/>
          <w:sz w:val="24"/>
          <w:szCs w:val="24"/>
        </w:rPr>
      </w:pPr>
      <w:r>
        <w:rPr>
          <w:rFonts w:hint="eastAsia" w:ascii="微软雅黑" w:hAnsi="微软雅黑" w:eastAsia="微软雅黑"/>
          <w:color w:val="auto"/>
          <w:sz w:val="24"/>
          <w:szCs w:val="24"/>
        </w:rPr>
        <w:t>包含中国工商数据库、中国工业企业数据库、中国海关进出口企业数据库、企业贡献数据库（税收调查）、绿色发展数据库（工业企业污染）、创新企业数据库（专利数据）等当前学术领域热门主体数据。</w:t>
      </w:r>
    </w:p>
    <w:p>
      <w:pPr>
        <w:pStyle w:val="16"/>
        <w:numPr>
          <w:ilvl w:val="0"/>
          <w:numId w:val="2"/>
        </w:numPr>
        <w:spacing w:line="480" w:lineRule="exact"/>
        <w:ind w:firstLineChars="0"/>
        <w:rPr>
          <w:rFonts w:hint="eastAsia" w:ascii="微软雅黑" w:hAnsi="微软雅黑" w:eastAsia="微软雅黑"/>
          <w:b/>
          <w:bCs/>
          <w:color w:val="auto"/>
          <w:sz w:val="24"/>
          <w:szCs w:val="24"/>
        </w:rPr>
      </w:pPr>
      <w:r>
        <w:rPr>
          <w:rFonts w:hint="eastAsia" w:ascii="微软雅黑" w:hAnsi="微软雅黑" w:eastAsia="微软雅黑"/>
          <w:b/>
          <w:bCs/>
          <w:color w:val="auto"/>
          <w:sz w:val="24"/>
          <w:szCs w:val="24"/>
        </w:rPr>
        <w:t>数据质量高</w:t>
      </w:r>
    </w:p>
    <w:p>
      <w:pPr>
        <w:pStyle w:val="16"/>
        <w:numPr>
          <w:ilvl w:val="0"/>
          <w:numId w:val="0"/>
        </w:numPr>
        <w:spacing w:line="480" w:lineRule="exact"/>
        <w:ind w:leftChars="0"/>
        <w:rPr>
          <w:rFonts w:hint="eastAsia" w:ascii="微软雅黑" w:hAnsi="微软雅黑" w:eastAsia="微软雅黑"/>
          <w:color w:val="auto"/>
          <w:sz w:val="24"/>
          <w:szCs w:val="24"/>
        </w:rPr>
      </w:pPr>
      <w:r>
        <w:rPr>
          <w:rFonts w:hint="eastAsia" w:ascii="微软雅黑" w:hAnsi="微软雅黑" w:eastAsia="微软雅黑"/>
          <w:color w:val="auto"/>
          <w:sz w:val="24"/>
          <w:szCs w:val="24"/>
        </w:rPr>
        <w:t>由公司数据实验室联合数据库工程师对相关数据进行了专业的清洗和处理，在很大程度上解决了数据异常、填报不准确、难于匹配等问题，对比竞品，系统内的脏数据比例最低，大大降低了数据的使用门槛，提升了数据的使用效率。</w:t>
      </w:r>
    </w:p>
    <w:p>
      <w:pPr>
        <w:pStyle w:val="16"/>
        <w:numPr>
          <w:ilvl w:val="0"/>
          <w:numId w:val="2"/>
        </w:numPr>
        <w:spacing w:line="480" w:lineRule="exact"/>
        <w:ind w:firstLineChars="0"/>
        <w:rPr>
          <w:rFonts w:hint="eastAsia" w:ascii="微软雅黑" w:hAnsi="微软雅黑" w:eastAsia="微软雅黑"/>
          <w:b/>
          <w:bCs/>
          <w:color w:val="auto"/>
          <w:sz w:val="24"/>
          <w:szCs w:val="24"/>
        </w:rPr>
      </w:pPr>
      <w:r>
        <w:rPr>
          <w:rFonts w:hint="eastAsia" w:ascii="微软雅黑" w:hAnsi="微软雅黑" w:eastAsia="微软雅黑"/>
          <w:b/>
          <w:bCs/>
          <w:color w:val="auto"/>
          <w:sz w:val="24"/>
          <w:szCs w:val="24"/>
        </w:rPr>
        <w:t>独家的跨库匹配功能</w:t>
      </w:r>
    </w:p>
    <w:p>
      <w:pPr>
        <w:pStyle w:val="16"/>
        <w:numPr>
          <w:ilvl w:val="0"/>
          <w:numId w:val="0"/>
        </w:numPr>
        <w:spacing w:line="480" w:lineRule="exact"/>
        <w:ind w:leftChars="0"/>
        <w:rPr>
          <w:rFonts w:hint="eastAsia" w:ascii="微软雅黑" w:hAnsi="微软雅黑" w:eastAsia="微软雅黑"/>
          <w:color w:val="auto"/>
          <w:sz w:val="24"/>
          <w:szCs w:val="24"/>
        </w:rPr>
      </w:pPr>
      <w:r>
        <w:rPr>
          <w:rFonts w:hint="eastAsia" w:ascii="微软雅黑" w:hAnsi="微软雅黑" w:eastAsia="微软雅黑"/>
          <w:color w:val="auto"/>
          <w:sz w:val="24"/>
          <w:szCs w:val="24"/>
        </w:rPr>
        <w:t>跨库匹配为我司微观产品独家功能，分为单年匹配和时间序列匹配，用户可选定平台内任意两个或多个专题数据库进行自由匹配，轻松获得截面数据和面板数据，大大增加了研究观测度，拓展了研究视野。</w:t>
      </w:r>
    </w:p>
    <w:p>
      <w:pPr>
        <w:pStyle w:val="16"/>
        <w:numPr>
          <w:ilvl w:val="0"/>
          <w:numId w:val="2"/>
        </w:numPr>
        <w:spacing w:line="480" w:lineRule="exact"/>
        <w:ind w:firstLineChars="0"/>
        <w:rPr>
          <w:rFonts w:hint="eastAsia" w:ascii="微软雅黑" w:hAnsi="微软雅黑" w:eastAsia="微软雅黑"/>
          <w:b/>
          <w:bCs/>
          <w:color w:val="auto"/>
          <w:sz w:val="24"/>
          <w:szCs w:val="24"/>
        </w:rPr>
      </w:pPr>
      <w:r>
        <w:rPr>
          <w:rFonts w:hint="eastAsia" w:ascii="微软雅黑" w:hAnsi="微软雅黑" w:eastAsia="微软雅黑"/>
          <w:b/>
          <w:bCs/>
          <w:color w:val="auto"/>
          <w:sz w:val="24"/>
          <w:szCs w:val="24"/>
        </w:rPr>
        <w:t>查询方式多样、数据获取便捷</w:t>
      </w:r>
    </w:p>
    <w:p>
      <w:pPr>
        <w:pStyle w:val="16"/>
        <w:numPr>
          <w:ilvl w:val="0"/>
          <w:numId w:val="0"/>
        </w:numPr>
        <w:spacing w:line="480" w:lineRule="exact"/>
        <w:ind w:leftChars="0"/>
        <w:rPr>
          <w:rFonts w:hint="eastAsia" w:ascii="微软雅黑" w:hAnsi="微软雅黑" w:eastAsia="微软雅黑"/>
          <w:color w:val="auto"/>
          <w:sz w:val="24"/>
          <w:szCs w:val="24"/>
        </w:rPr>
      </w:pPr>
      <w:r>
        <w:rPr>
          <w:rFonts w:hint="eastAsia" w:ascii="微软雅黑" w:hAnsi="微软雅黑" w:eastAsia="微软雅黑"/>
          <w:color w:val="auto"/>
          <w:sz w:val="24"/>
          <w:szCs w:val="24"/>
        </w:rPr>
        <w:t>平台支持单年数据查询、时间序列查询、单家企业查询，平台在数据查询过程中添加了丰富的便捷筛选维度，可以快速的查询并下载到所需数据。目前该功能从易用及相应效率方面比其他竞品更有优势</w:t>
      </w:r>
    </w:p>
    <w:p>
      <w:pPr>
        <w:pStyle w:val="16"/>
        <w:numPr>
          <w:ilvl w:val="0"/>
          <w:numId w:val="2"/>
        </w:numPr>
        <w:spacing w:line="480" w:lineRule="exact"/>
        <w:ind w:firstLineChars="0"/>
        <w:rPr>
          <w:rFonts w:hint="eastAsia" w:ascii="微软雅黑" w:hAnsi="微软雅黑" w:eastAsia="微软雅黑"/>
          <w:b/>
          <w:bCs/>
          <w:color w:val="auto"/>
          <w:sz w:val="24"/>
          <w:szCs w:val="24"/>
        </w:rPr>
      </w:pPr>
      <w:r>
        <w:rPr>
          <w:rFonts w:hint="eastAsia" w:ascii="微软雅黑" w:hAnsi="微软雅黑" w:eastAsia="微软雅黑"/>
          <w:b/>
          <w:bCs/>
          <w:color w:val="auto"/>
          <w:sz w:val="24"/>
          <w:szCs w:val="24"/>
        </w:rPr>
        <w:t>丰富且相对独家的可视化功能</w:t>
      </w:r>
    </w:p>
    <w:p>
      <w:pPr>
        <w:pStyle w:val="16"/>
        <w:numPr>
          <w:ilvl w:val="0"/>
          <w:numId w:val="0"/>
        </w:numPr>
        <w:spacing w:line="480" w:lineRule="exact"/>
        <w:ind w:leftChars="0"/>
        <w:rPr>
          <w:rFonts w:hint="eastAsia" w:ascii="微软雅黑" w:hAnsi="微软雅黑" w:eastAsia="微软雅黑"/>
          <w:color w:val="auto"/>
          <w:sz w:val="24"/>
          <w:szCs w:val="24"/>
        </w:rPr>
      </w:pPr>
      <w:r>
        <w:rPr>
          <w:rFonts w:hint="eastAsia" w:ascii="微软雅黑" w:hAnsi="微软雅黑" w:eastAsia="微软雅黑"/>
          <w:color w:val="auto"/>
          <w:sz w:val="24"/>
          <w:szCs w:val="24"/>
        </w:rPr>
        <w:t>平台内有丰富的可视化模块，对微观数据进行了分类汇总描述与可视化展示，便于用户从宏观上把握微观数据，让各类别企业的整体分布与时间趋势一目了然。</w:t>
      </w:r>
    </w:p>
    <w:p>
      <w:pPr>
        <w:pStyle w:val="16"/>
        <w:numPr>
          <w:ilvl w:val="0"/>
          <w:numId w:val="2"/>
        </w:numPr>
        <w:spacing w:line="480" w:lineRule="exact"/>
        <w:ind w:firstLineChars="0"/>
        <w:rPr>
          <w:rFonts w:hint="eastAsia" w:ascii="微软雅黑" w:hAnsi="微软雅黑" w:eastAsia="微软雅黑"/>
          <w:b/>
          <w:bCs/>
          <w:color w:val="auto"/>
          <w:sz w:val="24"/>
          <w:szCs w:val="24"/>
        </w:rPr>
      </w:pPr>
      <w:r>
        <w:rPr>
          <w:rFonts w:hint="eastAsia" w:ascii="微软雅黑" w:hAnsi="微软雅黑" w:eastAsia="微软雅黑"/>
          <w:b/>
          <w:bCs/>
          <w:color w:val="auto"/>
          <w:sz w:val="24"/>
          <w:szCs w:val="24"/>
        </w:rPr>
        <w:t>最全面且易用的工商数据</w:t>
      </w:r>
    </w:p>
    <w:p>
      <w:pPr>
        <w:pStyle w:val="16"/>
        <w:numPr>
          <w:ilvl w:val="0"/>
          <w:numId w:val="0"/>
        </w:numPr>
        <w:spacing w:line="480" w:lineRule="exact"/>
        <w:ind w:leftChars="0"/>
        <w:rPr>
          <w:rFonts w:ascii="微软雅黑" w:hAnsi="微软雅黑" w:eastAsia="微软雅黑"/>
          <w:color w:val="auto"/>
          <w:sz w:val="24"/>
          <w:szCs w:val="24"/>
        </w:rPr>
      </w:pPr>
      <w:r>
        <w:rPr>
          <w:rFonts w:hint="eastAsia" w:ascii="微软雅黑" w:hAnsi="微软雅黑" w:eastAsia="微软雅黑"/>
          <w:color w:val="auto"/>
          <w:sz w:val="24"/>
          <w:szCs w:val="24"/>
        </w:rPr>
        <w:t>我司企业工商数据库包含35张表结构内容，为业内最多。产品查询便捷、功能丰富，用户可在使用过程中筛选企业范围批量下载企业信息、精准检索下载单家企业完整信息、异步下载大数据量文件节省等待时间、使用自有企业列表定向匹配获取目标数据。</w:t>
      </w:r>
    </w:p>
    <w:p>
      <w:pPr>
        <w:spacing w:line="480" w:lineRule="exact"/>
        <w:rPr>
          <w:rFonts w:ascii="微软雅黑" w:hAnsi="微软雅黑" w:eastAsia="微软雅黑"/>
          <w:color w:val="auto"/>
          <w:sz w:val="24"/>
          <w:szCs w:val="24"/>
        </w:rPr>
      </w:pPr>
    </w:p>
    <w:p>
      <w:pPr>
        <w:spacing w:line="480" w:lineRule="exact"/>
        <w:rPr>
          <w:rFonts w:ascii="微软雅黑" w:hAnsi="微软雅黑" w:eastAsia="微软雅黑"/>
          <w:color w:val="auto"/>
          <w:sz w:val="24"/>
          <w:szCs w:val="24"/>
        </w:rPr>
      </w:pPr>
    </w:p>
    <w:p>
      <w:pPr>
        <w:spacing w:line="480" w:lineRule="exact"/>
        <w:rPr>
          <w:rFonts w:ascii="微软雅黑" w:hAnsi="微软雅黑" w:eastAsia="微软雅黑"/>
          <w:color w:val="auto"/>
          <w:sz w:val="24"/>
          <w:szCs w:val="24"/>
        </w:rPr>
      </w:pPr>
    </w:p>
    <w:p>
      <w:pPr>
        <w:spacing w:line="480" w:lineRule="exact"/>
        <w:rPr>
          <w:rFonts w:ascii="微软雅黑" w:hAnsi="微软雅黑" w:eastAsia="微软雅黑"/>
          <w:color w:val="auto"/>
          <w:sz w:val="24"/>
          <w:szCs w:val="24"/>
        </w:rPr>
      </w:pPr>
    </w:p>
    <w:p>
      <w:pPr>
        <w:spacing w:line="360" w:lineRule="auto"/>
        <w:jc w:val="left"/>
        <w:rPr>
          <w:rFonts w:ascii="微软雅黑" w:hAnsi="微软雅黑" w:eastAsia="微软雅黑"/>
          <w:color w:val="auto"/>
          <w:sz w:val="24"/>
          <w:szCs w:val="24"/>
        </w:rPr>
      </w:pPr>
    </w:p>
    <w:p>
      <w:pPr>
        <w:spacing w:line="360" w:lineRule="auto"/>
        <w:jc w:val="right"/>
        <w:rPr>
          <w:rFonts w:ascii="微软雅黑" w:hAnsi="微软雅黑" w:eastAsia="微软雅黑"/>
          <w:color w:val="auto"/>
        </w:rPr>
      </w:pPr>
    </w:p>
    <w:p>
      <w:pPr>
        <w:spacing w:line="360" w:lineRule="auto"/>
        <w:rPr>
          <w:rFonts w:ascii="微软雅黑" w:hAnsi="微软雅黑" w:eastAsia="微软雅黑"/>
          <w:color w:val="auto"/>
        </w:rPr>
      </w:pPr>
    </w:p>
    <w:p>
      <w:pPr>
        <w:spacing w:line="360" w:lineRule="auto"/>
        <w:rPr>
          <w:rFonts w:ascii="微软雅黑" w:hAnsi="微软雅黑" w:eastAsia="微软雅黑"/>
          <w:color w:val="auto"/>
        </w:rPr>
      </w:pPr>
    </w:p>
    <w:p>
      <w:pPr>
        <w:spacing w:line="360" w:lineRule="auto"/>
        <w:rPr>
          <w:rFonts w:ascii="微软雅黑" w:hAnsi="微软雅黑" w:eastAsia="微软雅黑"/>
          <w:color w:val="auto"/>
        </w:rPr>
      </w:pPr>
    </w:p>
    <w:p>
      <w:pPr>
        <w:spacing w:line="360" w:lineRule="auto"/>
        <w:rPr>
          <w:rFonts w:ascii="微软雅黑" w:hAnsi="微软雅黑" w:eastAsia="微软雅黑"/>
          <w:color w:val="auto"/>
        </w:rPr>
      </w:pPr>
    </w:p>
    <w:p>
      <w:pPr>
        <w:spacing w:line="360" w:lineRule="auto"/>
        <w:rPr>
          <w:rFonts w:ascii="微软雅黑" w:hAnsi="微软雅黑" w:eastAsia="微软雅黑"/>
          <w:color w:val="auto"/>
        </w:rPr>
      </w:pPr>
    </w:p>
    <w:p>
      <w:pPr>
        <w:spacing w:line="360" w:lineRule="auto"/>
        <w:rPr>
          <w:rFonts w:ascii="微软雅黑" w:hAnsi="微软雅黑" w:eastAsia="微软雅黑"/>
          <w:color w:val="auto"/>
        </w:rPr>
      </w:pPr>
    </w:p>
    <w:p>
      <w:pPr>
        <w:spacing w:line="360" w:lineRule="auto"/>
        <w:rPr>
          <w:rFonts w:ascii="微软雅黑" w:hAnsi="微软雅黑" w:eastAsia="微软雅黑"/>
          <w:color w:val="auto"/>
        </w:rPr>
      </w:pPr>
    </w:p>
    <w:p>
      <w:pPr>
        <w:rPr>
          <w:rFonts w:ascii="黑体" w:hAnsi="黑体" w:eastAsia="黑体"/>
          <w:color w:val="auto"/>
          <w:sz w:val="28"/>
          <w:szCs w:val="28"/>
        </w:rPr>
      </w:pPr>
    </w:p>
    <w:p>
      <w:pPr>
        <w:rPr>
          <w:rFonts w:ascii="黑体" w:hAnsi="黑体" w:eastAsia="黑体"/>
          <w:color w:val="auto"/>
          <w:sz w:val="28"/>
          <w:szCs w:val="28"/>
        </w:rPr>
      </w:pPr>
      <w:r>
        <w:rPr>
          <w:rFonts w:ascii="黑体" w:hAnsi="黑体" w:eastAsia="黑体"/>
          <w:color w:val="auto"/>
          <w:sz w:val="28"/>
          <w:szCs w:val="28"/>
        </w:rPr>
        <mc:AlternateContent>
          <mc:Choice Requires="wps">
            <w:drawing>
              <wp:anchor distT="45720" distB="45720" distL="114300" distR="114300" simplePos="0" relativeHeight="251665408" behindDoc="0" locked="0" layoutInCell="1" allowOverlap="1">
                <wp:simplePos x="0" y="0"/>
                <wp:positionH relativeFrom="column">
                  <wp:posOffset>733425</wp:posOffset>
                </wp:positionH>
                <wp:positionV relativeFrom="paragraph">
                  <wp:posOffset>321945</wp:posOffset>
                </wp:positionV>
                <wp:extent cx="3981450" cy="895350"/>
                <wp:effectExtent l="0" t="0" r="0" b="0"/>
                <wp:wrapSquare wrapText="bothSides"/>
                <wp:docPr id="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981450" cy="895350"/>
                        </a:xfrm>
                        <a:prstGeom prst="rect">
                          <a:avLst/>
                        </a:prstGeom>
                        <a:solidFill>
                          <a:schemeClr val="bg1"/>
                        </a:solidFill>
                        <a:ln w="9525">
                          <a:noFill/>
                          <a:miter lim="800000"/>
                        </a:ln>
                      </wps:spPr>
                      <wps:txbx>
                        <w:txbxContent>
                          <w:p>
                            <w:pPr>
                              <w:jc w:val="center"/>
                              <w:rPr>
                                <w:rFonts w:ascii="微软雅黑" w:hAnsi="微软雅黑" w:eastAsia="微软雅黑"/>
                                <w:color w:val="666666"/>
                                <w:sz w:val="24"/>
                                <w:szCs w:val="24"/>
                                <w:shd w:val="clear" w:color="auto" w:fill="FFFFFF"/>
                              </w:rPr>
                            </w:pPr>
                            <w:r>
                              <w:rPr>
                                <w:rFonts w:hint="eastAsia" w:ascii="微软雅黑" w:hAnsi="微软雅黑" w:eastAsia="微软雅黑"/>
                                <w:color w:val="666666"/>
                                <w:kern w:val="0"/>
                                <w:sz w:val="24"/>
                                <w:szCs w:val="24"/>
                                <w:shd w:val="clear" w:color="auto" w:fill="FFFFFF"/>
                              </w:rPr>
                              <w:t>更高效的数据获取方</w:t>
                            </w:r>
                            <w:r>
                              <w:rPr>
                                <w:rFonts w:ascii="微软雅黑" w:hAnsi="微软雅黑" w:eastAsia="微软雅黑"/>
                                <w:color w:val="666666"/>
                                <w:sz w:val="24"/>
                                <w:szCs w:val="24"/>
                                <w:shd w:val="clear" w:color="auto" w:fill="FFFFFF"/>
                              </w:rPr>
                              <w:t>式</w:t>
                            </w:r>
                          </w:p>
                          <w:p>
                            <w:pPr>
                              <w:jc w:val="center"/>
                              <w:rPr>
                                <w:rFonts w:ascii="微软雅黑" w:hAnsi="微软雅黑" w:eastAsia="微软雅黑"/>
                                <w:i/>
                                <w:iCs/>
                                <w:sz w:val="24"/>
                                <w:szCs w:val="24"/>
                              </w:rPr>
                            </w:pPr>
                            <w:r>
                              <w:rPr>
                                <w:rFonts w:ascii="微软雅黑" w:hAnsi="微软雅黑" w:eastAsia="微软雅黑"/>
                                <w:color w:val="666666"/>
                                <w:sz w:val="24"/>
                                <w:szCs w:val="24"/>
                                <w:shd w:val="clear" w:color="auto" w:fill="FFFFFF"/>
                              </w:rPr>
                              <w:t>降低数据使用门槛，提升</w:t>
                            </w:r>
                            <w:r>
                              <w:rPr>
                                <w:rFonts w:hint="eastAsia" w:ascii="微软雅黑" w:hAnsi="微软雅黑" w:eastAsia="微软雅黑"/>
                                <w:color w:val="666666"/>
                                <w:sz w:val="24"/>
                                <w:szCs w:val="24"/>
                                <w:shd w:val="clear" w:color="auto" w:fill="FFFFFF"/>
                              </w:rPr>
                              <w:t>实证研究</w:t>
                            </w:r>
                            <w:r>
                              <w:rPr>
                                <w:rFonts w:ascii="微软雅黑" w:hAnsi="微软雅黑" w:eastAsia="微软雅黑"/>
                                <w:color w:val="666666"/>
                                <w:sz w:val="24"/>
                                <w:szCs w:val="24"/>
                                <w:shd w:val="clear" w:color="auto" w:fill="FFFFFF"/>
                              </w:rPr>
                              <w:t>效率</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57.75pt;margin-top:25.35pt;height:70.5pt;width:313.5pt;mso-wrap-distance-bottom:3.6pt;mso-wrap-distance-left:9pt;mso-wrap-distance-right:9pt;mso-wrap-distance-top:3.6pt;z-index:251665408;mso-width-relative:page;mso-height-relative:page;" fillcolor="#FFFFFF [3212]" filled="t" stroked="f" coordsize="21600,21600" o:gfxdata="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I9CB5/WAAAACgEAAA8AAAAAAAAAAQAgAAAAIgAAAGRycy9kb3ducmV2&#10;LnhtbFBLAQIUABQAAAAIAIdO4kB680vgNwIAAFIEAAAOAAAAAAAAAAEAIAAAACUBAABkcnMvZTJv&#10;RG9jLnhtbFBLBQYAAAAABgAGAFkBAADOBQAAAAA=&#10;">
                <v:fill on="t" focussize="0,0"/>
                <v:stroke on="f" miterlimit="8" joinstyle="miter"/>
                <v:imagedata o:title=""/>
                <o:lock v:ext="edit" aspectratio="f"/>
                <v:textbox>
                  <w:txbxContent>
                    <w:p>
                      <w:pPr>
                        <w:jc w:val="center"/>
                        <w:rPr>
                          <w:rFonts w:ascii="微软雅黑" w:hAnsi="微软雅黑" w:eastAsia="微软雅黑"/>
                          <w:color w:val="666666"/>
                          <w:sz w:val="24"/>
                          <w:szCs w:val="24"/>
                          <w:shd w:val="clear" w:color="auto" w:fill="FFFFFF"/>
                        </w:rPr>
                      </w:pPr>
                      <w:r>
                        <w:rPr>
                          <w:rFonts w:hint="eastAsia" w:ascii="微软雅黑" w:hAnsi="微软雅黑" w:eastAsia="微软雅黑"/>
                          <w:color w:val="666666"/>
                          <w:kern w:val="0"/>
                          <w:sz w:val="24"/>
                          <w:szCs w:val="24"/>
                          <w:shd w:val="clear" w:color="auto" w:fill="FFFFFF"/>
                        </w:rPr>
                        <w:t>更高效的数据获取方</w:t>
                      </w:r>
                      <w:r>
                        <w:rPr>
                          <w:rFonts w:ascii="微软雅黑" w:hAnsi="微软雅黑" w:eastAsia="微软雅黑"/>
                          <w:color w:val="666666"/>
                          <w:sz w:val="24"/>
                          <w:szCs w:val="24"/>
                          <w:shd w:val="clear" w:color="auto" w:fill="FFFFFF"/>
                        </w:rPr>
                        <w:t>式</w:t>
                      </w:r>
                    </w:p>
                    <w:p>
                      <w:pPr>
                        <w:jc w:val="center"/>
                        <w:rPr>
                          <w:rFonts w:ascii="微软雅黑" w:hAnsi="微软雅黑" w:eastAsia="微软雅黑"/>
                          <w:i/>
                          <w:iCs/>
                          <w:sz w:val="24"/>
                          <w:szCs w:val="24"/>
                        </w:rPr>
                      </w:pPr>
                      <w:r>
                        <w:rPr>
                          <w:rFonts w:ascii="微软雅黑" w:hAnsi="微软雅黑" w:eastAsia="微软雅黑"/>
                          <w:color w:val="666666"/>
                          <w:sz w:val="24"/>
                          <w:szCs w:val="24"/>
                          <w:shd w:val="clear" w:color="auto" w:fill="FFFFFF"/>
                        </w:rPr>
                        <w:t>降低数据使用门槛，提升</w:t>
                      </w:r>
                      <w:r>
                        <w:rPr>
                          <w:rFonts w:hint="eastAsia" w:ascii="微软雅黑" w:hAnsi="微软雅黑" w:eastAsia="微软雅黑"/>
                          <w:color w:val="666666"/>
                          <w:sz w:val="24"/>
                          <w:szCs w:val="24"/>
                          <w:shd w:val="clear" w:color="auto" w:fill="FFFFFF"/>
                        </w:rPr>
                        <w:t>实证研究</w:t>
                      </w:r>
                      <w:r>
                        <w:rPr>
                          <w:rFonts w:ascii="微软雅黑" w:hAnsi="微软雅黑" w:eastAsia="微软雅黑"/>
                          <w:color w:val="666666"/>
                          <w:sz w:val="24"/>
                          <w:szCs w:val="24"/>
                          <w:shd w:val="clear" w:color="auto" w:fill="FFFFFF"/>
                        </w:rPr>
                        <w:t>效率</w:t>
                      </w:r>
                    </w:p>
                  </w:txbxContent>
                </v:textbox>
                <w10:wrap type="square"/>
              </v:shape>
            </w:pict>
          </mc:Fallback>
        </mc:AlternateContent>
      </w:r>
    </w:p>
    <w:p>
      <w:pPr>
        <w:rPr>
          <w:rFonts w:ascii="黑体" w:hAnsi="黑体" w:eastAsia="黑体"/>
          <w:color w:val="auto"/>
          <w:sz w:val="28"/>
          <w:szCs w:val="28"/>
        </w:rPr>
      </w:pPr>
    </w:p>
    <w:p>
      <w:pPr>
        <w:rPr>
          <w:rFonts w:ascii="黑体" w:hAnsi="黑体" w:eastAsia="黑体"/>
          <w:color w:val="auto"/>
          <w:sz w:val="28"/>
          <w:szCs w:val="28"/>
        </w:rPr>
      </w:pPr>
      <w:r>
        <w:rPr>
          <w:rFonts w:ascii="楷体" w:hAnsi="楷体" w:eastAsia="楷体"/>
          <w:b/>
          <w:color w:val="auto"/>
          <w:sz w:val="84"/>
          <w:szCs w:val="84"/>
          <w14:shadow w14:blurRad="38100" w14:dist="25400" w14:dir="5400000" w14:sx="100000" w14:sy="100000" w14:kx="0" w14:ky="0" w14:algn="ctr">
            <w14:srgbClr w14:val="6E747A">
              <w14:alpha w14:val="57000"/>
            </w14:srgbClr>
          </w14:shadow>
        </w:rPr>
        <mc:AlternateContent>
          <mc:Choice Requires="wps">
            <w:drawing>
              <wp:anchor distT="45720" distB="45720" distL="114300" distR="114300" simplePos="0" relativeHeight="251663360" behindDoc="0" locked="0" layoutInCell="1" allowOverlap="1">
                <wp:simplePos x="0" y="0"/>
                <wp:positionH relativeFrom="margin">
                  <wp:posOffset>0</wp:posOffset>
                </wp:positionH>
                <wp:positionV relativeFrom="paragraph">
                  <wp:posOffset>720090</wp:posOffset>
                </wp:positionV>
                <wp:extent cx="5676900" cy="1404620"/>
                <wp:effectExtent l="0" t="0" r="19050" b="21590"/>
                <wp:wrapSquare wrapText="bothSides"/>
                <wp:docPr id="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676900" cy="1404620"/>
                        </a:xfrm>
                        <a:prstGeom prst="rect">
                          <a:avLst/>
                        </a:prstGeom>
                        <a:solidFill>
                          <a:schemeClr val="bg1"/>
                        </a:solidFill>
                        <a:ln w="9525">
                          <a:solidFill>
                            <a:schemeClr val="bg1"/>
                          </a:solidFill>
                          <a:miter lim="800000"/>
                        </a:ln>
                      </wps:spPr>
                      <wps:txbx>
                        <w:txbxContent>
                          <w:p>
                            <w:pPr>
                              <w:jc w:val="center"/>
                              <w:rPr>
                                <w:rFonts w:ascii="微软雅黑" w:hAnsi="微软雅黑" w:eastAsia="微软雅黑"/>
                                <w:b/>
                                <w:color w:val="87BAD0" w:themeColor="background2" w:themeShade="BF"/>
                                <w:spacing w:val="20"/>
                                <w:sz w:val="66"/>
                                <w:szCs w:val="66"/>
                              </w:rPr>
                            </w:pPr>
                            <w:r>
                              <w:rPr>
                                <w:rFonts w:hint="eastAsia" w:ascii="微软雅黑" w:hAnsi="微软雅黑" w:eastAsia="微软雅黑"/>
                                <w:b/>
                                <w:color w:val="87BAD0" w:themeColor="background2" w:themeShade="BF"/>
                                <w:spacing w:val="20"/>
                                <w:sz w:val="66"/>
                                <w:szCs w:val="66"/>
                              </w:rPr>
                              <w:t>中国微观经济数据查询系统</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0pt;margin-top:56.7pt;height:110.6pt;width:447pt;mso-position-horizontal-relative:margin;mso-wrap-distance-bottom:3.6pt;mso-wrap-distance-left:9pt;mso-wrap-distance-right:9pt;mso-wrap-distance-top:3.6pt;z-index:251663360;mso-width-relative:page;mso-height-relative:margin;mso-height-percent:200;" fillcolor="#FFFFFF [3212]" filled="t" stroked="t" coordsize="21600,21600" o:gfxdata="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y7hAmdkAAAAIAQAADwAAAAAAAAABACAAAAAiAAAAZHJzL2Rv&#10;d25yZXYueG1sUEsBAhQAFAAAAAgAh07iQKnB4ZE5AgAAfAQAAA4AAAAAAAAAAQAgAAAAKAEAAGRy&#10;cy9lMm9Eb2MueG1sUEsFBgAAAAAGAAYAWQEAANMFAAAAAA==&#10;">
                <v:fill on="t" focussize="0,0"/>
                <v:stroke color="#FFFFFF [3212]" miterlimit="8" joinstyle="miter"/>
                <v:imagedata o:title=""/>
                <o:lock v:ext="edit" aspectratio="f"/>
                <v:textbox style="mso-fit-shape-to-text:t;">
                  <w:txbxContent>
                    <w:p>
                      <w:pPr>
                        <w:jc w:val="center"/>
                        <w:rPr>
                          <w:rFonts w:ascii="微软雅黑" w:hAnsi="微软雅黑" w:eastAsia="微软雅黑"/>
                          <w:b/>
                          <w:color w:val="87BAD0" w:themeColor="background2" w:themeShade="BF"/>
                          <w:spacing w:val="20"/>
                          <w:sz w:val="66"/>
                          <w:szCs w:val="66"/>
                        </w:rPr>
                      </w:pPr>
                      <w:r>
                        <w:rPr>
                          <w:rFonts w:hint="eastAsia" w:ascii="微软雅黑" w:hAnsi="微软雅黑" w:eastAsia="微软雅黑"/>
                          <w:b/>
                          <w:color w:val="87BAD0" w:themeColor="background2" w:themeShade="BF"/>
                          <w:spacing w:val="20"/>
                          <w:sz w:val="66"/>
                          <w:szCs w:val="66"/>
                        </w:rPr>
                        <w:t>中国微观经济数据查询系统</w:t>
                      </w:r>
                    </w:p>
                  </w:txbxContent>
                </v:textbox>
                <w10:wrap type="square"/>
              </v:shape>
            </w:pict>
          </mc:Fallback>
        </mc:AlternateContent>
      </w:r>
      <w:r>
        <w:rPr>
          <w:rFonts w:ascii="楷体" w:hAnsi="楷体" w:eastAsia="楷体"/>
          <w:b/>
          <w:color w:val="auto"/>
          <w:sz w:val="84"/>
          <w:szCs w:val="84"/>
        </w:rPr>
        <mc:AlternateContent>
          <mc:Choice Requires="wps">
            <w:drawing>
              <wp:anchor distT="0" distB="0" distL="114300" distR="114300" simplePos="0" relativeHeight="251664384" behindDoc="0" locked="0" layoutInCell="1" allowOverlap="1">
                <wp:simplePos x="0" y="0"/>
                <wp:positionH relativeFrom="margin">
                  <wp:posOffset>0</wp:posOffset>
                </wp:positionH>
                <wp:positionV relativeFrom="paragraph">
                  <wp:posOffset>585470</wp:posOffset>
                </wp:positionV>
                <wp:extent cx="5429250" cy="38100"/>
                <wp:effectExtent l="0" t="0" r="19050" b="19050"/>
                <wp:wrapNone/>
                <wp:docPr id="5" name="直接连接符 5"/>
                <wp:cNvGraphicFramePr/>
                <a:graphic xmlns:a="http://schemas.openxmlformats.org/drawingml/2006/main">
                  <a:graphicData uri="http://schemas.microsoft.com/office/word/2010/wordprocessingShape">
                    <wps:wsp>
                      <wps:cNvCnPr/>
                      <wps:spPr>
                        <a:xfrm>
                          <a:off x="0" y="0"/>
                          <a:ext cx="5429250" cy="38100"/>
                        </a:xfrm>
                        <a:prstGeom prst="line">
                          <a:avLst/>
                        </a:prstGeom>
                        <a:ln w="19050">
                          <a:solidFill>
                            <a:schemeClr val="tx1"/>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id="_x0000_s1026" o:spid="_x0000_s1026" o:spt="20" style="position:absolute;left:0pt;margin-left:0pt;margin-top:46.1pt;height:3pt;width:427.5pt;mso-position-horizontal-relative:margin;z-index:251664384;mso-width-relative:page;mso-height-relative:page;" filled="f" stroked="t" coordsize="21600,21600" o:gfxdata="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tjzK41gAA&#10;AAYBAAAPAAAAAAAAAAEAIAAAACIAAABkcnMvZG93bnJldi54bWxQSwECFAAUAAAACACHTuJAayev&#10;BecBAAC2AwAADgAAAAAAAAABACAAAAAlAQAAZHJzL2Uyb0RvYy54bWxQSwUGAAAAAAYABgBZAQAA&#10;fgUAAAAA&#10;">
                <v:fill on="f" focussize="0,0"/>
                <v:stroke weight="1.5pt" color="#000000 [3213]" miterlimit="8" joinstyle="miter"/>
                <v:imagedata o:title=""/>
                <o:lock v:ext="edit" aspectratio="f"/>
              </v:line>
            </w:pict>
          </mc:Fallback>
        </mc:AlternateContent>
      </w:r>
    </w:p>
    <w:p>
      <w:pPr>
        <w:spacing w:line="360" w:lineRule="auto"/>
        <w:jc w:val="center"/>
        <w:rPr>
          <w:rFonts w:ascii="微软雅黑" w:hAnsi="微软雅黑" w:eastAsia="微软雅黑"/>
          <w:color w:val="auto"/>
          <w:szCs w:val="21"/>
        </w:rPr>
      </w:pPr>
      <w:r>
        <w:rPr>
          <w:rFonts w:hint="eastAsia" w:ascii="微软雅黑" w:hAnsi="微软雅黑" w:eastAsia="微软雅黑"/>
          <w:color w:val="auto"/>
          <w:szCs w:val="21"/>
          <w:shd w:val="clear" w:color="auto" w:fill="FFFFFF"/>
        </w:rPr>
        <w:t>客户服务热线：010-85786021转8001</w:t>
      </w:r>
    </w:p>
    <w:p>
      <w:pPr>
        <w:spacing w:line="360" w:lineRule="auto"/>
        <w:jc w:val="center"/>
        <w:rPr>
          <w:rFonts w:ascii="微软雅黑" w:hAnsi="微软雅黑" w:eastAsia="微软雅黑"/>
          <w:color w:val="auto"/>
          <w:szCs w:val="21"/>
        </w:rPr>
      </w:pPr>
      <w:r>
        <w:rPr>
          <w:rFonts w:ascii="微软雅黑" w:hAnsi="微软雅黑" w:eastAsia="微软雅黑"/>
          <w:color w:val="auto"/>
          <w:szCs w:val="21"/>
        </w:rPr>
        <w:t>E-mail</w:t>
      </w:r>
      <w:r>
        <w:rPr>
          <w:rFonts w:hint="eastAsia" w:ascii="微软雅黑" w:hAnsi="微软雅黑" w:eastAsia="微软雅黑"/>
          <w:color w:val="auto"/>
          <w:szCs w:val="21"/>
        </w:rPr>
        <w:t>：</w:t>
      </w:r>
      <w:r>
        <w:rPr>
          <w:rFonts w:ascii="微软雅黑" w:hAnsi="微软雅黑" w:eastAsia="微软雅黑"/>
          <w:color w:val="auto"/>
        </w:rPr>
        <w:t>service@sozdata.com</w:t>
      </w:r>
    </w:p>
    <w:p>
      <w:pPr>
        <w:spacing w:line="360" w:lineRule="auto"/>
        <w:jc w:val="center"/>
        <w:rPr>
          <w:rFonts w:ascii="微软雅黑" w:hAnsi="微软雅黑" w:eastAsia="微软雅黑"/>
          <w:color w:val="auto"/>
        </w:rPr>
      </w:pPr>
      <w:r>
        <w:rPr>
          <w:rFonts w:hint="eastAsia" w:ascii="微软雅黑" w:hAnsi="微软雅黑" w:eastAsia="微软雅黑"/>
          <w:color w:val="auto"/>
        </w:rPr>
        <w:t>北京搜知数据科技有限公司</w:t>
      </w:r>
    </w:p>
    <w:p>
      <w:pPr>
        <w:spacing w:line="360" w:lineRule="auto"/>
        <w:rPr>
          <w:rFonts w:ascii="微软雅黑" w:hAnsi="微软雅黑" w:eastAsia="微软雅黑"/>
          <w:color w:val="auto"/>
        </w:rPr>
      </w:pPr>
    </w:p>
    <w:p>
      <w:pPr>
        <w:spacing w:line="360" w:lineRule="auto"/>
        <w:rPr>
          <w:rFonts w:ascii="微软雅黑" w:hAnsi="微软雅黑" w:eastAsia="微软雅黑"/>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微软雅黑" w:hAnsi="微软雅黑" w:eastAsia="微软雅黑"/>
        <w:b/>
        <w:bCs/>
        <w:color w:val="116EA1" w:themeColor="accent1"/>
        <w14:textFill>
          <w14:solidFill>
            <w14:schemeClr w14:val="accent1"/>
          </w14:solidFill>
        </w14:textFill>
      </w:rPr>
    </w:pPr>
    <w:r>
      <w:rPr>
        <w:rFonts w:ascii="微软雅黑" w:hAnsi="微软雅黑" w:eastAsia="微软雅黑"/>
        <w:b/>
        <w:bCs/>
        <w:color w:val="116EA1" w:themeColor="accent1"/>
        <w:lang w:val="zh-CN"/>
        <w14:textFill>
          <w14:solidFill>
            <w14:schemeClr w14:val="accent1"/>
          </w14:solidFill>
        </w14:textFill>
      </w:rPr>
      <w:t xml:space="preserve"> </w:t>
    </w:r>
    <w:r>
      <w:rPr>
        <w:rFonts w:ascii="微软雅黑" w:hAnsi="微软雅黑" w:eastAsia="微软雅黑"/>
        <w:b/>
        <w:bCs/>
        <w:color w:val="116EA1" w:themeColor="accent1"/>
        <w14:textFill>
          <w14:solidFill>
            <w14:schemeClr w14:val="accent1"/>
          </w14:solidFill>
        </w14:textFill>
      </w:rPr>
      <w:fldChar w:fldCharType="begin"/>
    </w:r>
    <w:r>
      <w:rPr>
        <w:rFonts w:ascii="微软雅黑" w:hAnsi="微软雅黑" w:eastAsia="微软雅黑"/>
        <w:b/>
        <w:bCs/>
        <w:color w:val="116EA1" w:themeColor="accent1"/>
        <w14:textFill>
          <w14:solidFill>
            <w14:schemeClr w14:val="accent1"/>
          </w14:solidFill>
        </w14:textFill>
      </w:rPr>
      <w:instrText xml:space="preserve">PAGE  \* Arabic  \* MERGEFORMAT</w:instrText>
    </w:r>
    <w:r>
      <w:rPr>
        <w:rFonts w:ascii="微软雅黑" w:hAnsi="微软雅黑" w:eastAsia="微软雅黑"/>
        <w:b/>
        <w:bCs/>
        <w:color w:val="116EA1" w:themeColor="accent1"/>
        <w14:textFill>
          <w14:solidFill>
            <w14:schemeClr w14:val="accent1"/>
          </w14:solidFill>
        </w14:textFill>
      </w:rPr>
      <w:fldChar w:fldCharType="separate"/>
    </w:r>
    <w:r>
      <w:rPr>
        <w:rFonts w:ascii="微软雅黑" w:hAnsi="微软雅黑" w:eastAsia="微软雅黑"/>
        <w:b/>
        <w:bCs/>
        <w:color w:val="116EA1" w:themeColor="accent1"/>
        <w:lang w:val="zh-CN"/>
        <w14:textFill>
          <w14:solidFill>
            <w14:schemeClr w14:val="accent1"/>
          </w14:solidFill>
        </w14:textFill>
      </w:rPr>
      <w:t>2</w:t>
    </w:r>
    <w:r>
      <w:rPr>
        <w:rFonts w:ascii="微软雅黑" w:hAnsi="微软雅黑" w:eastAsia="微软雅黑"/>
        <w:b/>
        <w:bCs/>
        <w:color w:val="116EA1" w:themeColor="accent1"/>
        <w14:textFill>
          <w14:solidFill>
            <w14:schemeClr w14:val="accent1"/>
          </w14:solidFill>
        </w14:textFill>
      </w:rPr>
      <w:fldChar w:fldCharType="end"/>
    </w:r>
    <w:r>
      <w:rPr>
        <w:rFonts w:ascii="微软雅黑" w:hAnsi="微软雅黑" w:eastAsia="微软雅黑"/>
        <w:b/>
        <w:bCs/>
        <w:color w:val="116EA1" w:themeColor="accent1"/>
        <w:lang w:val="zh-CN"/>
        <w14:textFill>
          <w14:solidFill>
            <w14:schemeClr w14:val="accent1"/>
          </w14:solidFill>
        </w14:textFill>
      </w:rPr>
      <w:t xml:space="preserve"> / </w:t>
    </w:r>
    <w:r>
      <w:rPr>
        <w:rFonts w:ascii="微软雅黑" w:hAnsi="微软雅黑" w:eastAsia="微软雅黑"/>
        <w:b/>
        <w:bCs/>
        <w:color w:val="116EA1" w:themeColor="accent1"/>
        <w14:textFill>
          <w14:solidFill>
            <w14:schemeClr w14:val="accent1"/>
          </w14:solidFill>
        </w14:textFill>
      </w:rPr>
      <w:fldChar w:fldCharType="begin"/>
    </w:r>
    <w:r>
      <w:rPr>
        <w:rFonts w:ascii="微软雅黑" w:hAnsi="微软雅黑" w:eastAsia="微软雅黑"/>
        <w:b/>
        <w:bCs/>
        <w:color w:val="116EA1" w:themeColor="accent1"/>
        <w14:textFill>
          <w14:solidFill>
            <w14:schemeClr w14:val="accent1"/>
          </w14:solidFill>
        </w14:textFill>
      </w:rPr>
      <w:instrText xml:space="preserve">NUMPAGES  \* Arabic  \* MERGEFORMAT</w:instrText>
    </w:r>
    <w:r>
      <w:rPr>
        <w:rFonts w:ascii="微软雅黑" w:hAnsi="微软雅黑" w:eastAsia="微软雅黑"/>
        <w:b/>
        <w:bCs/>
        <w:color w:val="116EA1" w:themeColor="accent1"/>
        <w14:textFill>
          <w14:solidFill>
            <w14:schemeClr w14:val="accent1"/>
          </w14:solidFill>
        </w14:textFill>
      </w:rPr>
      <w:fldChar w:fldCharType="separate"/>
    </w:r>
    <w:r>
      <w:rPr>
        <w:rFonts w:ascii="微软雅黑" w:hAnsi="微软雅黑" w:eastAsia="微软雅黑"/>
        <w:b/>
        <w:bCs/>
        <w:color w:val="116EA1" w:themeColor="accent1"/>
        <w:lang w:val="zh-CN"/>
        <w14:textFill>
          <w14:solidFill>
            <w14:schemeClr w14:val="accent1"/>
          </w14:solidFill>
        </w14:textFill>
      </w:rPr>
      <w:t>2</w:t>
    </w:r>
    <w:r>
      <w:rPr>
        <w:rFonts w:ascii="微软雅黑" w:hAnsi="微软雅黑" w:eastAsia="微软雅黑"/>
        <w:b/>
        <w:bCs/>
        <w:color w:val="116EA1" w:themeColor="accent1"/>
        <w14:textFill>
          <w14:solidFill>
            <w14:schemeClr w14:val="accent1"/>
          </w14:solidFill>
        </w14:textFill>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345770"/>
    <w:multiLevelType w:val="multilevel"/>
    <w:tmpl w:val="1E345770"/>
    <w:lvl w:ilvl="0" w:tentative="0">
      <w:start w:val="1"/>
      <w:numFmt w:val="bullet"/>
      <w:lvlText w:val=""/>
      <w:lvlJc w:val="left"/>
      <w:pPr>
        <w:ind w:left="840" w:hanging="420"/>
      </w:pPr>
      <w:rPr>
        <w:rFonts w:hint="default" w:ascii="Wingdings" w:hAnsi="Wingdings"/>
        <w:color w:val="87BAD0" w:themeColor="background2" w:themeShade="BF"/>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53077F02"/>
    <w:multiLevelType w:val="multilevel"/>
    <w:tmpl w:val="53077F02"/>
    <w:lvl w:ilvl="0" w:tentative="0">
      <w:start w:val="1"/>
      <w:numFmt w:val="bullet"/>
      <w:lvlText w:val=""/>
      <w:lvlJc w:val="left"/>
      <w:pPr>
        <w:ind w:left="420" w:hanging="420"/>
      </w:pPr>
      <w:rPr>
        <w:rFonts w:hint="default" w:ascii="Wingdings" w:hAnsi="Wingdings"/>
        <w:color w:val="CD8F28" w:themeColor="accent3" w:themeShade="BF"/>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4MTY3YTc3Nzg4OGVjNzJjNTg5OGJkYmZlYTNlZTQifQ=="/>
    <w:docVar w:name="KSO_WPS_MARK_KEY" w:val="78361aa9-df81-4707-a74e-f3c4389b8ddc"/>
  </w:docVars>
  <w:rsids>
    <w:rsidRoot w:val="00DB72FE"/>
    <w:rsid w:val="000105C4"/>
    <w:rsid w:val="0001107B"/>
    <w:rsid w:val="00023A78"/>
    <w:rsid w:val="000248D8"/>
    <w:rsid w:val="00036B15"/>
    <w:rsid w:val="0004337B"/>
    <w:rsid w:val="00046B24"/>
    <w:rsid w:val="000534EC"/>
    <w:rsid w:val="00061CF3"/>
    <w:rsid w:val="0007338F"/>
    <w:rsid w:val="00080191"/>
    <w:rsid w:val="000807AF"/>
    <w:rsid w:val="00081037"/>
    <w:rsid w:val="000A4A83"/>
    <w:rsid w:val="000A5291"/>
    <w:rsid w:val="000A64A5"/>
    <w:rsid w:val="000A66F4"/>
    <w:rsid w:val="000A697A"/>
    <w:rsid w:val="000B0DA4"/>
    <w:rsid w:val="000C03EA"/>
    <w:rsid w:val="000C45EB"/>
    <w:rsid w:val="000C585B"/>
    <w:rsid w:val="000D520C"/>
    <w:rsid w:val="000E2B96"/>
    <w:rsid w:val="000F134F"/>
    <w:rsid w:val="000F3794"/>
    <w:rsid w:val="000F400D"/>
    <w:rsid w:val="000F6998"/>
    <w:rsid w:val="00104A2B"/>
    <w:rsid w:val="00114062"/>
    <w:rsid w:val="00116970"/>
    <w:rsid w:val="00120FA2"/>
    <w:rsid w:val="00127863"/>
    <w:rsid w:val="00130FB0"/>
    <w:rsid w:val="0013179E"/>
    <w:rsid w:val="00140911"/>
    <w:rsid w:val="00142300"/>
    <w:rsid w:val="001435DE"/>
    <w:rsid w:val="00147D9D"/>
    <w:rsid w:val="00150DB8"/>
    <w:rsid w:val="00151848"/>
    <w:rsid w:val="00164912"/>
    <w:rsid w:val="0016554B"/>
    <w:rsid w:val="00192496"/>
    <w:rsid w:val="001975D2"/>
    <w:rsid w:val="00197662"/>
    <w:rsid w:val="001A19AA"/>
    <w:rsid w:val="001B0DAA"/>
    <w:rsid w:val="001B1542"/>
    <w:rsid w:val="001B2020"/>
    <w:rsid w:val="001B4889"/>
    <w:rsid w:val="001C0240"/>
    <w:rsid w:val="001C24E4"/>
    <w:rsid w:val="001E7856"/>
    <w:rsid w:val="001F3D18"/>
    <w:rsid w:val="00200B77"/>
    <w:rsid w:val="0020508A"/>
    <w:rsid w:val="0020711D"/>
    <w:rsid w:val="002138DD"/>
    <w:rsid w:val="00235957"/>
    <w:rsid w:val="00236D58"/>
    <w:rsid w:val="002405BF"/>
    <w:rsid w:val="00251047"/>
    <w:rsid w:val="0026672C"/>
    <w:rsid w:val="00281229"/>
    <w:rsid w:val="00290C55"/>
    <w:rsid w:val="00291DDB"/>
    <w:rsid w:val="002941F4"/>
    <w:rsid w:val="002942C8"/>
    <w:rsid w:val="002B26AF"/>
    <w:rsid w:val="002B5000"/>
    <w:rsid w:val="002B79C0"/>
    <w:rsid w:val="002C60E7"/>
    <w:rsid w:val="002C61CC"/>
    <w:rsid w:val="002C634F"/>
    <w:rsid w:val="002E2527"/>
    <w:rsid w:val="002F16CF"/>
    <w:rsid w:val="002F25F1"/>
    <w:rsid w:val="00303B81"/>
    <w:rsid w:val="003064B9"/>
    <w:rsid w:val="003161AE"/>
    <w:rsid w:val="0032088E"/>
    <w:rsid w:val="0032108D"/>
    <w:rsid w:val="00330D35"/>
    <w:rsid w:val="00330FC2"/>
    <w:rsid w:val="00352503"/>
    <w:rsid w:val="003568AA"/>
    <w:rsid w:val="00357E16"/>
    <w:rsid w:val="00360B92"/>
    <w:rsid w:val="0036236A"/>
    <w:rsid w:val="00365BC5"/>
    <w:rsid w:val="00374CFD"/>
    <w:rsid w:val="0038325D"/>
    <w:rsid w:val="003837C3"/>
    <w:rsid w:val="00385738"/>
    <w:rsid w:val="00386F9B"/>
    <w:rsid w:val="003A23F5"/>
    <w:rsid w:val="003B380A"/>
    <w:rsid w:val="003C131B"/>
    <w:rsid w:val="003C3376"/>
    <w:rsid w:val="003E19BC"/>
    <w:rsid w:val="003F67C3"/>
    <w:rsid w:val="00414B1C"/>
    <w:rsid w:val="00420FEF"/>
    <w:rsid w:val="00423CBD"/>
    <w:rsid w:val="00437DED"/>
    <w:rsid w:val="004409DF"/>
    <w:rsid w:val="004439D8"/>
    <w:rsid w:val="00454F5B"/>
    <w:rsid w:val="00472140"/>
    <w:rsid w:val="00473C08"/>
    <w:rsid w:val="0048081F"/>
    <w:rsid w:val="004937AF"/>
    <w:rsid w:val="004A2236"/>
    <w:rsid w:val="004A3195"/>
    <w:rsid w:val="004B4D74"/>
    <w:rsid w:val="004D25A5"/>
    <w:rsid w:val="004D6176"/>
    <w:rsid w:val="004D7A9C"/>
    <w:rsid w:val="004F446D"/>
    <w:rsid w:val="00504519"/>
    <w:rsid w:val="00505769"/>
    <w:rsid w:val="00513227"/>
    <w:rsid w:val="005140C9"/>
    <w:rsid w:val="00514D59"/>
    <w:rsid w:val="00523493"/>
    <w:rsid w:val="00523495"/>
    <w:rsid w:val="00535E2C"/>
    <w:rsid w:val="005428C3"/>
    <w:rsid w:val="00542CA9"/>
    <w:rsid w:val="00544A0B"/>
    <w:rsid w:val="005572F9"/>
    <w:rsid w:val="005666C2"/>
    <w:rsid w:val="005729B9"/>
    <w:rsid w:val="00574DFC"/>
    <w:rsid w:val="005756EB"/>
    <w:rsid w:val="005774A2"/>
    <w:rsid w:val="00577CAE"/>
    <w:rsid w:val="00580E66"/>
    <w:rsid w:val="00582059"/>
    <w:rsid w:val="005911E1"/>
    <w:rsid w:val="00592550"/>
    <w:rsid w:val="00596D23"/>
    <w:rsid w:val="005A0EB7"/>
    <w:rsid w:val="005A0FB9"/>
    <w:rsid w:val="005A2CFF"/>
    <w:rsid w:val="005B740B"/>
    <w:rsid w:val="005C4121"/>
    <w:rsid w:val="005D5489"/>
    <w:rsid w:val="005F1A5A"/>
    <w:rsid w:val="005F35F1"/>
    <w:rsid w:val="005F4690"/>
    <w:rsid w:val="005F4D5F"/>
    <w:rsid w:val="0060361B"/>
    <w:rsid w:val="0060384C"/>
    <w:rsid w:val="00611B32"/>
    <w:rsid w:val="00615461"/>
    <w:rsid w:val="006175C4"/>
    <w:rsid w:val="006463A3"/>
    <w:rsid w:val="00647413"/>
    <w:rsid w:val="00647BCE"/>
    <w:rsid w:val="00654FAE"/>
    <w:rsid w:val="0066236F"/>
    <w:rsid w:val="006731E9"/>
    <w:rsid w:val="00680984"/>
    <w:rsid w:val="00686A43"/>
    <w:rsid w:val="00690005"/>
    <w:rsid w:val="006A50CA"/>
    <w:rsid w:val="006B10D5"/>
    <w:rsid w:val="006B14DD"/>
    <w:rsid w:val="006C5140"/>
    <w:rsid w:val="006C5BD7"/>
    <w:rsid w:val="006D764F"/>
    <w:rsid w:val="006E2185"/>
    <w:rsid w:val="006F48DE"/>
    <w:rsid w:val="00705CF7"/>
    <w:rsid w:val="007078AB"/>
    <w:rsid w:val="00707E93"/>
    <w:rsid w:val="00712E87"/>
    <w:rsid w:val="00715949"/>
    <w:rsid w:val="00716BEA"/>
    <w:rsid w:val="007171CA"/>
    <w:rsid w:val="007234E4"/>
    <w:rsid w:val="007369F7"/>
    <w:rsid w:val="007578D4"/>
    <w:rsid w:val="00757D29"/>
    <w:rsid w:val="00774558"/>
    <w:rsid w:val="00775100"/>
    <w:rsid w:val="007917C2"/>
    <w:rsid w:val="00791824"/>
    <w:rsid w:val="00796CD1"/>
    <w:rsid w:val="00797D69"/>
    <w:rsid w:val="007C1E73"/>
    <w:rsid w:val="007D0F83"/>
    <w:rsid w:val="007D2870"/>
    <w:rsid w:val="007D2E7B"/>
    <w:rsid w:val="007D6C30"/>
    <w:rsid w:val="007E0157"/>
    <w:rsid w:val="007E2BEC"/>
    <w:rsid w:val="007F0A77"/>
    <w:rsid w:val="007F2829"/>
    <w:rsid w:val="00803364"/>
    <w:rsid w:val="00803A15"/>
    <w:rsid w:val="00810C44"/>
    <w:rsid w:val="00834542"/>
    <w:rsid w:val="00840401"/>
    <w:rsid w:val="00850ED5"/>
    <w:rsid w:val="00856D7D"/>
    <w:rsid w:val="00871006"/>
    <w:rsid w:val="0087728D"/>
    <w:rsid w:val="008A6621"/>
    <w:rsid w:val="008C12A6"/>
    <w:rsid w:val="008E0799"/>
    <w:rsid w:val="008E3064"/>
    <w:rsid w:val="008F2A25"/>
    <w:rsid w:val="008F4774"/>
    <w:rsid w:val="009021AA"/>
    <w:rsid w:val="009067D0"/>
    <w:rsid w:val="009155AF"/>
    <w:rsid w:val="00921655"/>
    <w:rsid w:val="0092536A"/>
    <w:rsid w:val="009303F2"/>
    <w:rsid w:val="00931E66"/>
    <w:rsid w:val="009324A5"/>
    <w:rsid w:val="00951220"/>
    <w:rsid w:val="009540A1"/>
    <w:rsid w:val="00954924"/>
    <w:rsid w:val="009570D6"/>
    <w:rsid w:val="00976DA3"/>
    <w:rsid w:val="00992CF3"/>
    <w:rsid w:val="009950F2"/>
    <w:rsid w:val="009977C1"/>
    <w:rsid w:val="009A58BA"/>
    <w:rsid w:val="009A77B7"/>
    <w:rsid w:val="009B5DFE"/>
    <w:rsid w:val="009D2CF5"/>
    <w:rsid w:val="009E7EDA"/>
    <w:rsid w:val="00A14B00"/>
    <w:rsid w:val="00A2037E"/>
    <w:rsid w:val="00A239B0"/>
    <w:rsid w:val="00A31A83"/>
    <w:rsid w:val="00A348C7"/>
    <w:rsid w:val="00A40E76"/>
    <w:rsid w:val="00A41D6B"/>
    <w:rsid w:val="00A45B34"/>
    <w:rsid w:val="00A62737"/>
    <w:rsid w:val="00A66430"/>
    <w:rsid w:val="00AA1C31"/>
    <w:rsid w:val="00AA52CF"/>
    <w:rsid w:val="00AA6577"/>
    <w:rsid w:val="00AC30A6"/>
    <w:rsid w:val="00AC3EAB"/>
    <w:rsid w:val="00AE5E38"/>
    <w:rsid w:val="00B23C83"/>
    <w:rsid w:val="00B261B3"/>
    <w:rsid w:val="00B35560"/>
    <w:rsid w:val="00B373EE"/>
    <w:rsid w:val="00B45B5C"/>
    <w:rsid w:val="00B56717"/>
    <w:rsid w:val="00B67AF3"/>
    <w:rsid w:val="00B7010B"/>
    <w:rsid w:val="00B8056F"/>
    <w:rsid w:val="00B87377"/>
    <w:rsid w:val="00B903C1"/>
    <w:rsid w:val="00B90DD9"/>
    <w:rsid w:val="00BA2FA3"/>
    <w:rsid w:val="00BA62C8"/>
    <w:rsid w:val="00BB092D"/>
    <w:rsid w:val="00BB3907"/>
    <w:rsid w:val="00BB779C"/>
    <w:rsid w:val="00BC0745"/>
    <w:rsid w:val="00BC6A1F"/>
    <w:rsid w:val="00BF7D6F"/>
    <w:rsid w:val="00C03123"/>
    <w:rsid w:val="00C136AA"/>
    <w:rsid w:val="00C202B5"/>
    <w:rsid w:val="00C211BD"/>
    <w:rsid w:val="00C4348A"/>
    <w:rsid w:val="00C43503"/>
    <w:rsid w:val="00C543EE"/>
    <w:rsid w:val="00C54CD1"/>
    <w:rsid w:val="00C646D9"/>
    <w:rsid w:val="00C67BA7"/>
    <w:rsid w:val="00C76021"/>
    <w:rsid w:val="00C816A5"/>
    <w:rsid w:val="00C832C2"/>
    <w:rsid w:val="00C834D8"/>
    <w:rsid w:val="00C84D40"/>
    <w:rsid w:val="00C873F8"/>
    <w:rsid w:val="00C91C6E"/>
    <w:rsid w:val="00C94F03"/>
    <w:rsid w:val="00CA23FB"/>
    <w:rsid w:val="00CD1043"/>
    <w:rsid w:val="00CD4ADC"/>
    <w:rsid w:val="00CD4F68"/>
    <w:rsid w:val="00CF29F1"/>
    <w:rsid w:val="00D00D5A"/>
    <w:rsid w:val="00D11CB5"/>
    <w:rsid w:val="00D12E45"/>
    <w:rsid w:val="00D14D1F"/>
    <w:rsid w:val="00D14E46"/>
    <w:rsid w:val="00D1741B"/>
    <w:rsid w:val="00D24A12"/>
    <w:rsid w:val="00D25CCD"/>
    <w:rsid w:val="00D25E7D"/>
    <w:rsid w:val="00D55029"/>
    <w:rsid w:val="00D551BE"/>
    <w:rsid w:val="00D55949"/>
    <w:rsid w:val="00D57DA2"/>
    <w:rsid w:val="00D61BFE"/>
    <w:rsid w:val="00D70423"/>
    <w:rsid w:val="00D7256E"/>
    <w:rsid w:val="00D75264"/>
    <w:rsid w:val="00DA20D8"/>
    <w:rsid w:val="00DA2D0F"/>
    <w:rsid w:val="00DA557C"/>
    <w:rsid w:val="00DB2496"/>
    <w:rsid w:val="00DB3E25"/>
    <w:rsid w:val="00DB72FE"/>
    <w:rsid w:val="00DD26B1"/>
    <w:rsid w:val="00DD3944"/>
    <w:rsid w:val="00DE00DD"/>
    <w:rsid w:val="00DE01F5"/>
    <w:rsid w:val="00DF0DC1"/>
    <w:rsid w:val="00DF1D77"/>
    <w:rsid w:val="00DF3D9E"/>
    <w:rsid w:val="00E07FD4"/>
    <w:rsid w:val="00E26D9A"/>
    <w:rsid w:val="00E42A8E"/>
    <w:rsid w:val="00E47686"/>
    <w:rsid w:val="00E513C3"/>
    <w:rsid w:val="00E80DEA"/>
    <w:rsid w:val="00EA20A8"/>
    <w:rsid w:val="00EA4235"/>
    <w:rsid w:val="00EA6D9C"/>
    <w:rsid w:val="00EC1642"/>
    <w:rsid w:val="00EC28E2"/>
    <w:rsid w:val="00EC68DC"/>
    <w:rsid w:val="00EF27D0"/>
    <w:rsid w:val="00EF2BC1"/>
    <w:rsid w:val="00F012AB"/>
    <w:rsid w:val="00F1021E"/>
    <w:rsid w:val="00F11AA6"/>
    <w:rsid w:val="00F15E63"/>
    <w:rsid w:val="00F26E45"/>
    <w:rsid w:val="00F323F1"/>
    <w:rsid w:val="00F34B4C"/>
    <w:rsid w:val="00F4243A"/>
    <w:rsid w:val="00F43A88"/>
    <w:rsid w:val="00F4476F"/>
    <w:rsid w:val="00F54221"/>
    <w:rsid w:val="00F55245"/>
    <w:rsid w:val="00F56C98"/>
    <w:rsid w:val="00F60D24"/>
    <w:rsid w:val="00F7093B"/>
    <w:rsid w:val="00F768FA"/>
    <w:rsid w:val="00F90259"/>
    <w:rsid w:val="00F906A2"/>
    <w:rsid w:val="00F963FF"/>
    <w:rsid w:val="00F978F4"/>
    <w:rsid w:val="00FA2DA9"/>
    <w:rsid w:val="00FA670F"/>
    <w:rsid w:val="00FA734E"/>
    <w:rsid w:val="00FB5307"/>
    <w:rsid w:val="00FC2AF3"/>
    <w:rsid w:val="00FC328F"/>
    <w:rsid w:val="00FD0780"/>
    <w:rsid w:val="00FD1867"/>
    <w:rsid w:val="00FD3B46"/>
    <w:rsid w:val="00FD6F80"/>
    <w:rsid w:val="00FE18E6"/>
    <w:rsid w:val="00FF1912"/>
    <w:rsid w:val="00FF4F93"/>
    <w:rsid w:val="06942A68"/>
    <w:rsid w:val="07D94EB6"/>
    <w:rsid w:val="14B7657F"/>
    <w:rsid w:val="20D66281"/>
    <w:rsid w:val="2A0E6341"/>
    <w:rsid w:val="303221B1"/>
    <w:rsid w:val="324E38E3"/>
    <w:rsid w:val="55647C60"/>
    <w:rsid w:val="55CE39E7"/>
    <w:rsid w:val="68C767A2"/>
    <w:rsid w:val="68F9199A"/>
    <w:rsid w:val="6A505A87"/>
    <w:rsid w:val="6CC91B21"/>
    <w:rsid w:val="74A2068D"/>
    <w:rsid w:val="764C7A98"/>
    <w:rsid w:val="769D2054"/>
    <w:rsid w:val="7F476E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2"/>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8"/>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000FF"/>
      <w:u w:val="single"/>
    </w:rPr>
  </w:style>
  <w:style w:type="character" w:customStyle="1" w:styleId="11">
    <w:name w:val="Unresolved Mention"/>
    <w:basedOn w:val="9"/>
    <w:semiHidden/>
    <w:unhideWhenUsed/>
    <w:qFormat/>
    <w:uiPriority w:val="99"/>
    <w:rPr>
      <w:color w:val="605E5C"/>
      <w:shd w:val="clear" w:color="auto" w:fill="E1DFDD"/>
    </w:rPr>
  </w:style>
  <w:style w:type="character" w:customStyle="1" w:styleId="12">
    <w:name w:val="标题 2 字符"/>
    <w:basedOn w:val="9"/>
    <w:link w:val="2"/>
    <w:qFormat/>
    <w:uiPriority w:val="9"/>
    <w:rPr>
      <w:rFonts w:ascii="宋体" w:hAnsi="宋体" w:eastAsia="宋体" w:cs="宋体"/>
      <w:b/>
      <w:bCs/>
      <w:kern w:val="0"/>
      <w:sz w:val="36"/>
      <w:szCs w:val="36"/>
    </w:rPr>
  </w:style>
  <w:style w:type="character" w:styleId="13">
    <w:name w:val="Placeholder Text"/>
    <w:basedOn w:val="9"/>
    <w:semiHidden/>
    <w:qFormat/>
    <w:uiPriority w:val="99"/>
    <w:rPr>
      <w:color w:val="808080"/>
    </w:rPr>
  </w:style>
  <w:style w:type="character" w:customStyle="1" w:styleId="14">
    <w:name w:val="页眉 字符"/>
    <w:basedOn w:val="9"/>
    <w:link w:val="5"/>
    <w:qFormat/>
    <w:uiPriority w:val="99"/>
    <w:rPr>
      <w:sz w:val="18"/>
      <w:szCs w:val="18"/>
    </w:rPr>
  </w:style>
  <w:style w:type="character" w:customStyle="1" w:styleId="15">
    <w:name w:val="页脚 字符"/>
    <w:basedOn w:val="9"/>
    <w:link w:val="4"/>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Intense Emphasis"/>
    <w:basedOn w:val="9"/>
    <w:qFormat/>
    <w:uiPriority w:val="21"/>
    <w:rPr>
      <w:i/>
      <w:iCs/>
      <w:color w:val="116EA1" w:themeColor="accent1"/>
      <w14:textFill>
        <w14:solidFill>
          <w14:schemeClr w14:val="accent1"/>
        </w14:solidFill>
      </w14:textFill>
    </w:rPr>
  </w:style>
  <w:style w:type="character" w:customStyle="1" w:styleId="18">
    <w:name w:val="批注框文本 字符"/>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ECO2019">
      <a:dk1>
        <a:sysClr val="windowText" lastClr="000000"/>
      </a:dk1>
      <a:lt1>
        <a:sysClr val="window" lastClr="FFFFFF"/>
      </a:lt1>
      <a:dk2>
        <a:srgbClr val="44546A"/>
      </a:dk2>
      <a:lt2>
        <a:srgbClr val="D9E9F0"/>
      </a:lt2>
      <a:accent1>
        <a:srgbClr val="116EA1"/>
      </a:accent1>
      <a:accent2>
        <a:srgbClr val="2FC1D3"/>
      </a:accent2>
      <a:accent3>
        <a:srgbClr val="E1B366"/>
      </a:accent3>
      <a:accent4>
        <a:srgbClr val="70C9C5"/>
      </a:accent4>
      <a:accent5>
        <a:srgbClr val="00969F"/>
      </a:accent5>
      <a:accent6>
        <a:srgbClr val="D36D6C"/>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1EA64C-2CE6-4816-A48C-1ADBD6C0CFD3}">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4411</Words>
  <Characters>4796</Characters>
  <Lines>26</Lines>
  <Paragraphs>7</Paragraphs>
  <TotalTime>10</TotalTime>
  <ScaleCrop>false</ScaleCrop>
  <LinksUpToDate>false</LinksUpToDate>
  <CharactersWithSpaces>4801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2019-08-26T06:49:00Z</dcterms:created>
  <dc:creator>tian</dc:creator>
  <cp:lastModifiedBy>千熬百煮滋味多</cp:lastModifiedBy>
  <cp:lastPrinted>2019-11-05T04:02:00Z</cp:lastPrinted>
  <dcterms:modified xsi:type="dcterms:W3CDTF">2023-03-28T08:44:44Z</dcterms:modified>
  <cp:revision>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A0D136A564DF432F8E18077F708AE4E7</vt:lpwstr>
  </property>
</Properties>
</file>